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659" w:type="dxa"/>
        <w:jc w:val="start"/>
        <w:tblInd w:w="-308" w:type="dxa"/>
        <w:tblLayout w:type="fixed"/>
        <w:tblCellMar>
          <w:top w:w="0" w:type="dxa"/>
          <w:start w:w="108" w:type="dxa"/>
          <w:bottom w:w="0" w:type="dxa"/>
          <w:end w:w="108" w:type="dxa"/>
        </w:tblCellMar>
        <w:tblLook w:val="04a0" w:firstRow="1" w:noVBand="1" w:lastRow="0" w:firstColumn="1" w:lastColumn="0" w:noHBand="0"/>
      </w:tblPr>
      <w:tblGrid>
        <w:gridCol w:w="3847"/>
        <w:gridCol w:w="5812"/>
      </w:tblGrid>
      <w:tr>
        <w:trPr>
          <w:trHeight w:val="830" w:hRule="atLeast"/>
        </w:trPr>
        <w:tc>
          <w:tcPr>
            <w:tcW w:w="3847" w:type="dxa"/>
            <w:tcBorders/>
            <w:shd w:color="auto" w:fill="FFFFFF" w:val="clear"/>
          </w:tcPr>
          <w:p>
            <w:pPr>
              <w:pStyle w:val="Normal"/>
              <w:spacing w:lineRule="auto" w:line="240" w:before="0" w:after="120"/>
              <w:jc w:val="center"/>
              <w:rPr>
                <w:rFonts w:ascii="Times New Roman" w:hAnsi="Times New Roman" w:eastAsia="Times New Roman" w:cs="Times New Roman"/>
                <w:sz w:val="26"/>
                <w:szCs w:val="26"/>
              </w:rPr>
            </w:pPr>
            <w:r>
              <mc:AlternateContent>
                <mc:Choice Requires="wps">
                  <w:drawing>
                    <wp:anchor distT="0" distB="19050" distL="0" distR="33655" simplePos="0" relativeHeight="4" behindDoc="0" locked="0" layoutInCell="1" allowOverlap="1" wp14:anchorId="2D302722">
                      <wp:simplePos x="0" y="0"/>
                      <wp:positionH relativeFrom="column">
                        <wp:posOffset>690245</wp:posOffset>
                      </wp:positionH>
                      <wp:positionV relativeFrom="paragraph">
                        <wp:posOffset>407035</wp:posOffset>
                      </wp:positionV>
                      <wp:extent cx="899795" cy="635"/>
                      <wp:effectExtent l="5080" t="5080" r="5080" b="5080"/>
                      <wp:wrapNone/>
                      <wp:docPr id="1" name="Straight Connector 3"/>
                      <a:graphic xmlns:a="http://schemas.openxmlformats.org/drawingml/2006/main">
                        <a:graphicData uri="http://schemas.microsoft.com/office/word/2010/wordprocessingShape">
                          <wps:wsp>
                            <wps:cNvSpPr/>
                            <wps:spPr>
                              <a:xfrm>
                                <a:off x="0" y="0"/>
                                <a:ext cx="899640" cy="720"/>
                              </a:xfrm>
                              <a:prstGeom prst="line">
                                <a:avLst/>
                              </a:prstGeom>
                              <a:ln>
                                <a:solidFill>
                                  <a:srgbClr val="000000"/>
                                </a:solidFill>
                                <a:round/>
                              </a:ln>
                            </wps:spPr>
                            <wps:style>
                              <a:lnRef idx="1">
                                <a:schemeClr val="dk1"/>
                              </a:lnRef>
                              <a:fillRef idx="0">
                                <a:schemeClr val="dk1"/>
                              </a:fillRef>
                              <a:effectRef idx="0">
                                <a:schemeClr val="dk1"/>
                              </a:effectRef>
                              <a:fontRef idx="minor"/>
                            </wps:style>
                            <wps:bodyPr/>
                          </wps:wsp>
                        </a:graphicData>
                      </a:graphic>
                    </wp:anchor>
                  </w:drawing>
                </mc:Choice>
                <mc:Fallback>
                  <w:pict>
                    <v:line id="shape_0" from="54.35pt,32.05pt" to="125.15pt,32.05pt" stroked="t" o:allowincell="t" style="position:absolute" wp14:anchorId="2D302722">
                      <v:stroke color="black" weight="9360" joinstyle="round" endcap="flat"/>
                      <v:fill o:detectmouseclick="t" on="false"/>
                      <w10:wrap type="none"/>
                    </v:line>
                  </w:pict>
                </mc:Fallback>
              </mc:AlternateContent>
            </w:r>
            <w:r>
              <w:rPr>
                <w:rFonts w:eastAsia="Times New Roman" w:cs="Times New Roman" w:ascii="Times New Roman" w:hAnsi="Times New Roman"/>
                <w:b/>
                <w:bCs/>
                <w:sz w:val="26"/>
                <w:szCs w:val="26"/>
              </w:rPr>
              <w:t>HỘI ĐỒNG NHÂN DÂN</w:t>
              <w:br/>
              <w:t>THÀNH PHỐ HỒ CHÍ MINH</w:t>
            </w:r>
          </w:p>
        </w:tc>
        <w:tc>
          <w:tcPr>
            <w:tcW w:w="5812" w:type="dxa"/>
            <w:tcBorders/>
            <w:shd w:color="auto" w:fill="FFFFFF" w:val="clear"/>
          </w:tcPr>
          <w:p>
            <w:pPr>
              <w:pStyle w:val="Normal"/>
              <w:spacing w:lineRule="auto" w:line="240" w:before="0" w:after="120"/>
              <w:jc w:val="center"/>
              <w:rPr>
                <w:rFonts w:ascii="Times New Roman" w:hAnsi="Times New Roman" w:eastAsia="Times New Roman" w:cs="Times New Roman"/>
                <w:sz w:val="26"/>
                <w:szCs w:val="26"/>
              </w:rPr>
            </w:pPr>
            <w:r>
              <mc:AlternateContent>
                <mc:Choice Requires="wps">
                  <w:drawing>
                    <wp:anchor distT="0" distB="0" distL="0" distR="0" simplePos="0" relativeHeight="5" behindDoc="0" locked="0" layoutInCell="1" allowOverlap="1" wp14:anchorId="55E8360C">
                      <wp:simplePos x="0" y="0"/>
                      <wp:positionH relativeFrom="column">
                        <wp:posOffset>781685</wp:posOffset>
                      </wp:positionH>
                      <wp:positionV relativeFrom="paragraph">
                        <wp:posOffset>401320</wp:posOffset>
                      </wp:positionV>
                      <wp:extent cx="1916430" cy="635"/>
                      <wp:effectExtent l="5080" t="5080" r="5080" b="5080"/>
                      <wp:wrapNone/>
                      <wp:docPr id="2" name="Straight Connector 4"/>
                      <a:graphic xmlns:a="http://schemas.openxmlformats.org/drawingml/2006/main">
                        <a:graphicData uri="http://schemas.microsoft.com/office/word/2010/wordprocessingShape">
                          <wps:wsp>
                            <wps:cNvSpPr/>
                            <wps:spPr>
                              <a:xfrm>
                                <a:off x="0" y="0"/>
                                <a:ext cx="1916280" cy="720"/>
                              </a:xfrm>
                              <a:prstGeom prst="line">
                                <a:avLst/>
                              </a:prstGeom>
                              <a:ln>
                                <a:solidFill>
                                  <a:srgbClr val="000000"/>
                                </a:solidFill>
                                <a:round/>
                              </a:ln>
                            </wps:spPr>
                            <wps:style>
                              <a:lnRef idx="1">
                                <a:schemeClr val="dk1"/>
                              </a:lnRef>
                              <a:fillRef idx="0">
                                <a:schemeClr val="dk1"/>
                              </a:fillRef>
                              <a:effectRef idx="0">
                                <a:schemeClr val="dk1"/>
                              </a:effectRef>
                              <a:fontRef idx="minor"/>
                            </wps:style>
                            <wps:bodyPr/>
                          </wps:wsp>
                        </a:graphicData>
                      </a:graphic>
                    </wp:anchor>
                  </w:drawing>
                </mc:Choice>
                <mc:Fallback>
                  <w:pict>
                    <v:line id="shape_0" from="61.55pt,31.6pt" to="212.4pt,31.6pt" stroked="t" o:allowincell="t" style="position:absolute" wp14:anchorId="55E8360C">
                      <v:stroke color="black" weight="9360" joinstyle="round" endcap="flat"/>
                      <v:fill o:detectmouseclick="t" on="false"/>
                      <w10:wrap type="none"/>
                    </v:line>
                  </w:pict>
                </mc:Fallback>
              </mc:AlternateContent>
            </w:r>
            <w:r>
              <w:rPr>
                <w:rFonts w:eastAsia="Times New Roman" w:cs="Times New Roman" w:ascii="Times New Roman" w:hAnsi="Times New Roman"/>
                <w:b/>
                <w:bCs/>
                <w:sz w:val="26"/>
                <w:szCs w:val="26"/>
              </w:rPr>
              <w:t>CỘNG HÒA XÃ HỘI CHỦ NGHĨA VIỆT NAM</w:t>
              <w:br/>
              <w:t>Độc lập - Tự do - Hạnh phúc</w:t>
            </w:r>
          </w:p>
        </w:tc>
      </w:tr>
      <w:tr>
        <w:trPr/>
        <w:tc>
          <w:tcPr>
            <w:tcW w:w="3847" w:type="dxa"/>
            <w:tcBorders/>
            <w:shd w:color="auto" w:fill="FFFFFF" w:val="clear"/>
          </w:tcPr>
          <w:p>
            <w:pPr>
              <w:pStyle w:val="Normal"/>
              <w:spacing w:lineRule="auto" w:line="240" w:before="0" w:after="120"/>
              <w:jc w:val="center"/>
              <w:rPr>
                <w:rFonts w:ascii="Times New Roman" w:hAnsi="Times New Roman" w:eastAsia="Times New Roman" w:cs="Times New Roman"/>
                <w:sz w:val="28"/>
                <w:szCs w:val="28"/>
              </w:rPr>
            </w:pPr>
            <w:r>
              <w:rPr>
                <w:rFonts w:eastAsia="Times New Roman" w:cs="Times New Roman" w:ascii="Times New Roman" w:hAnsi="Times New Roman"/>
                <w:sz w:val="28"/>
                <w:szCs w:val="28"/>
              </w:rPr>
              <w:t>Số: …/2026/NQ-HĐND</w:t>
            </w:r>
          </w:p>
        </w:tc>
        <w:tc>
          <w:tcPr>
            <w:tcW w:w="5812" w:type="dxa"/>
            <w:tcBorders/>
            <w:shd w:color="auto" w:fill="FFFFFF" w:val="clear"/>
          </w:tcPr>
          <w:p>
            <w:pPr>
              <w:pStyle w:val="Normal"/>
              <w:spacing w:lineRule="auto" w:line="240" w:before="0" w:after="120"/>
              <w:jc w:val="end"/>
              <w:rPr>
                <w:rFonts w:ascii="Times New Roman" w:hAnsi="Times New Roman" w:eastAsia="Times New Roman" w:cs="Times New Roman"/>
                <w:sz w:val="26"/>
                <w:szCs w:val="26"/>
              </w:rPr>
            </w:pPr>
            <w:r>
              <w:rPr>
                <w:rFonts w:eastAsia="Times New Roman" w:cs="Times New Roman" w:ascii="Times New Roman" w:hAnsi="Times New Roman"/>
                <w:i/>
                <w:iCs/>
                <w:sz w:val="26"/>
                <w:szCs w:val="26"/>
              </w:rPr>
              <w:t>Thành phố Hồ Chí Minh, ngày      tháng 5 năm 2026</w:t>
            </w:r>
          </w:p>
        </w:tc>
      </w:tr>
    </w:tbl>
    <w:p>
      <w:pPr>
        <w:pStyle w:val="Normal"/>
        <w:shd w:val="clear" w:color="auto" w:fill="FFFFFF"/>
        <w:spacing w:lineRule="auto" w:line="240" w:before="480" w:after="0"/>
        <w:jc w:val="center"/>
        <w:rPr>
          <w:rFonts w:ascii="Times New Roman" w:hAnsi="Times New Roman" w:eastAsia="Times New Roman" w:cs="Times New Roman"/>
          <w:b/>
          <w:sz w:val="28"/>
          <w:szCs w:val="28"/>
        </w:rPr>
      </w:pPr>
      <w:bookmarkStart w:id="0" w:name="loai_1"/>
      <w:r>
        <mc:AlternateContent>
          <mc:Choice Requires="wps">
            <w:drawing>
              <wp:anchor distT="0" distB="21590" distL="0" distR="26035" simplePos="0" relativeHeight="2" behindDoc="0" locked="0" layoutInCell="1" allowOverlap="1" wp14:anchorId="42E9E977">
                <wp:simplePos x="0" y="0"/>
                <wp:positionH relativeFrom="column">
                  <wp:posOffset>277495</wp:posOffset>
                </wp:positionH>
                <wp:positionV relativeFrom="paragraph">
                  <wp:posOffset>29210</wp:posOffset>
                </wp:positionV>
                <wp:extent cx="1270000" cy="302895"/>
                <wp:effectExtent l="5080" t="5715" r="5080" b="4445"/>
                <wp:wrapNone/>
                <wp:docPr id="3" name="Rectangle 1"/>
                <a:graphic xmlns:a="http://schemas.openxmlformats.org/drawingml/2006/main">
                  <a:graphicData uri="http://schemas.microsoft.com/office/word/2010/wordprocessingShape">
                    <wps:wsp>
                      <wps:cNvSpPr/>
                      <wps:spPr>
                        <a:xfrm>
                          <a:off x="0" y="0"/>
                          <a:ext cx="1270080" cy="302760"/>
                        </a:xfrm>
                        <a:prstGeom prst="rect">
                          <a:avLst/>
                        </a:prstGeom>
                        <a:solidFill>
                          <a:srgbClr val="FFFFFF"/>
                        </a:solidFill>
                        <a:ln w="9525">
                          <a:solidFill>
                            <a:srgbClr val="000000"/>
                          </a:solidFill>
                          <a:round/>
                        </a:ln>
                      </wps:spPr>
                      <wps:style>
                        <a:lnRef idx="2">
                          <a:schemeClr val="dk1"/>
                        </a:lnRef>
                        <a:fillRef idx="1">
                          <a:schemeClr val="lt1"/>
                        </a:fillRef>
                        <a:effectRef idx="0">
                          <a:schemeClr val="dk1"/>
                        </a:effectRef>
                        <a:fontRef idx="minor"/>
                      </wps:style>
                      <wps:txbx>
                        <w:txbxContent>
                          <w:p>
                            <w:pPr>
                              <w:pStyle w:val="FrameContents"/>
                              <w:spacing w:lineRule="auto" w:line="240" w:before="0" w:after="120"/>
                              <w:jc w:val="center"/>
                              <w:rPr>
                                <w:rFonts w:ascii="Times New Roman" w:hAnsi="Times New Roman" w:cs="Times New Roman"/>
                                <w:bCs/>
                                <w:sz w:val="28"/>
                                <w:szCs w:val="28"/>
                              </w:rPr>
                            </w:pPr>
                            <w:r>
                              <w:rPr>
                                <w:rFonts w:cs="Times New Roman" w:ascii="Times New Roman" w:hAnsi="Times New Roman"/>
                                <w:bCs/>
                                <w:color w:val="000000"/>
                                <w:sz w:val="28"/>
                                <w:szCs w:val="28"/>
                              </w:rPr>
                              <w:t>DỰ THẢO</w:t>
                            </w:r>
                          </w:p>
                        </w:txbxContent>
                      </wps:txbx>
                      <wps:bodyPr anchor="ctr">
                        <a:prstTxWarp prst="textNoShape"/>
                        <a:noAutofit/>
                      </wps:bodyPr>
                    </wps:wsp>
                  </a:graphicData>
                </a:graphic>
              </wp:anchor>
            </w:drawing>
          </mc:Choice>
          <mc:Fallback>
            <w:pict>
              <v:rect id="shape_0" fillcolor="white" stroked="t" o:allowincell="f" style="position:absolute;margin-left:21.85pt;margin-top:2.3pt;width:99.95pt;height:23.8pt;mso-wrap-style:square;v-text-anchor:middle" wp14:anchorId="42E9E977">
                <v:fill o:detectmouseclick="t" type="solid" color2="black"/>
                <v:stroke color="black" weight="9360" joinstyle="round" endcap="flat"/>
                <v:textbox>
                  <w:txbxContent>
                    <w:p>
                      <w:pPr>
                        <w:pStyle w:val="FrameContents"/>
                        <w:spacing w:lineRule="auto" w:line="240" w:before="0" w:after="120"/>
                        <w:jc w:val="center"/>
                        <w:rPr>
                          <w:rFonts w:ascii="Times New Roman" w:hAnsi="Times New Roman" w:cs="Times New Roman"/>
                          <w:bCs/>
                          <w:sz w:val="28"/>
                          <w:szCs w:val="28"/>
                        </w:rPr>
                      </w:pPr>
                      <w:r>
                        <w:rPr>
                          <w:rFonts w:cs="Times New Roman" w:ascii="Times New Roman" w:hAnsi="Times New Roman"/>
                          <w:bCs/>
                          <w:color w:val="000000"/>
                          <w:sz w:val="28"/>
                          <w:szCs w:val="28"/>
                        </w:rPr>
                        <w:t>DỰ THẢO</w:t>
                      </w:r>
                    </w:p>
                  </w:txbxContent>
                </v:textbox>
                <w10:wrap type="none"/>
              </v:rect>
            </w:pict>
          </mc:Fallback>
        </mc:AlternateContent>
      </w:r>
      <w:bookmarkEnd w:id="0"/>
      <w:r>
        <w:rPr>
          <w:rFonts w:eastAsia="Times New Roman" w:cs="Times New Roman" w:ascii="Times New Roman" w:hAnsi="Times New Roman"/>
          <w:b/>
          <w:bCs/>
          <w:sz w:val="28"/>
          <w:szCs w:val="28"/>
        </w:rPr>
        <w:t>NGHỊ QUYẾT</w:t>
      </w:r>
    </w:p>
    <w:p>
      <w:pPr>
        <w:pStyle w:val="Normal"/>
        <w:shd w:val="clear" w:color="auto" w:fill="FFFFFF"/>
        <w:spacing w:lineRule="atLeast" w:line="234" w:before="0" w:after="0"/>
        <w:jc w:val="center"/>
        <w:rPr>
          <w:rFonts w:ascii="Times New Roman" w:hAnsi="Times New Roman" w:eastAsia="Calibri" w:cs="Times New Roman"/>
          <w:b/>
          <w:iCs/>
          <w:spacing w:val="-2"/>
          <w:sz w:val="28"/>
          <w:szCs w:val="28"/>
        </w:rPr>
      </w:pPr>
      <w:r>
        <w:rPr>
          <w:rFonts w:eastAsia="Times New Roman" w:cs="Times New Roman" w:ascii="Times New Roman" w:hAnsi="Times New Roman"/>
          <w:b/>
          <w:spacing w:val="-2"/>
          <w:sz w:val="28"/>
          <w:szCs w:val="28"/>
        </w:rPr>
        <w:t xml:space="preserve"> </w:t>
      </w:r>
      <w:r>
        <w:rPr>
          <w:rFonts w:eastAsia="Times New Roman" w:cs="Times New Roman" w:ascii="Times New Roman Bold" w:hAnsi="Times New Roman Bold"/>
          <w:b/>
          <w:spacing w:val="-4"/>
          <w:sz w:val="28"/>
          <w:szCs w:val="28"/>
        </w:rPr>
        <w:t xml:space="preserve">Về </w:t>
      </w:r>
      <w:r>
        <w:rPr>
          <w:rFonts w:eastAsia="Calibri" w:cs="Times New Roman" w:ascii="Times New Roman Bold" w:hAnsi="Times New Roman Bold"/>
          <w:b/>
          <w:iCs/>
          <w:spacing w:val="-4"/>
          <w:sz w:val="28"/>
          <w:szCs w:val="28"/>
          <w:lang w:val="vi-VN"/>
        </w:rPr>
        <w:t>chế độ hỗ trợ</w:t>
      </w:r>
      <w:r>
        <w:rPr>
          <w:rFonts w:eastAsia="Calibri" w:cs="Times New Roman" w:ascii="Times New Roman Bold" w:hAnsi="Times New Roman Bold"/>
          <w:b/>
          <w:iCs/>
          <w:spacing w:val="-4"/>
          <w:sz w:val="28"/>
          <w:szCs w:val="28"/>
        </w:rPr>
        <w:t xml:space="preserve"> thêm đối với người hoạt động không chuyên trách ở cấp xã</w:t>
      </w:r>
      <w:r>
        <w:rPr>
          <w:rFonts w:eastAsia="Calibri" w:cs="Times New Roman" w:ascii="Times New Roman" w:hAnsi="Times New Roman"/>
          <w:b/>
          <w:iCs/>
          <w:spacing w:val="-2"/>
          <w:sz w:val="28"/>
          <w:szCs w:val="28"/>
        </w:rPr>
        <w:t xml:space="preserve">; </w:t>
      </w:r>
      <w:r>
        <w:rPr>
          <w:rFonts w:eastAsia="Calibri" w:ascii="Times New Roman" w:hAnsi="Times New Roman"/>
          <w:b/>
          <w:iCs/>
          <w:spacing w:val="-2"/>
          <w:sz w:val="28"/>
          <w:szCs w:val="28"/>
        </w:rPr>
        <w:t>người tham gia hoạt động ở khu phố, ấp, thôn, khu dân cư, tổ dân cư, tổ nhân dân tự quản</w:t>
      </w:r>
      <w:r>
        <w:rPr>
          <w:rFonts w:eastAsia="Calibri" w:cs="Times New Roman" w:ascii="Times New Roman" w:hAnsi="Times New Roman"/>
          <w:b/>
          <w:iCs/>
          <w:spacing w:val="-2"/>
          <w:sz w:val="28"/>
          <w:szCs w:val="28"/>
        </w:rPr>
        <w:t xml:space="preserve"> khi thực hiện sắp xếp theo </w:t>
      </w:r>
      <w:r>
        <w:rPr>
          <w:rFonts w:cs="Times New Roman" w:ascii="Times New Roman" w:hAnsi="Times New Roman"/>
          <w:b/>
          <w:spacing w:val="3"/>
          <w:sz w:val="28"/>
          <w:szCs w:val="28"/>
          <w:shd w:fill="FFFFFF" w:val="clear"/>
          <w:lang w:val="it-IT"/>
        </w:rPr>
        <w:t>các Kết luận của Bộ chính trị, Ban Bí thư</w:t>
      </w:r>
      <w:r>
        <w:rPr>
          <w:rFonts w:cs="Times New Roman" w:ascii="Times New Roman" w:hAnsi="Times New Roman"/>
          <w:b/>
          <w:sz w:val="28"/>
          <w:szCs w:val="28"/>
          <w:lang w:val="it-IT"/>
        </w:rPr>
        <w:t xml:space="preserve"> </w:t>
      </w:r>
      <w:r>
        <w:rPr>
          <w:rFonts w:cs="Times New Roman" w:ascii="Times New Roman" w:hAnsi="Times New Roman"/>
          <w:b/>
          <w:sz w:val="28"/>
          <w:szCs w:val="28"/>
          <w:lang w:val="vi-VN"/>
        </w:rPr>
        <w:t>trên địa bàn Thành phố Hồ Chí Minh</w:t>
      </w:r>
    </w:p>
    <w:p>
      <w:pPr>
        <w:pStyle w:val="Normal"/>
        <w:shd w:val="clear" w:color="auto" w:fill="FFFFFF"/>
        <w:spacing w:lineRule="atLeast" w:line="234" w:before="0" w:after="0"/>
        <w:jc w:val="center"/>
        <w:rPr>
          <w:rFonts w:ascii="Times New Roman" w:hAnsi="Times New Roman" w:eastAsia="Times New Roman" w:cs="Times New Roman"/>
          <w:b/>
          <w:spacing w:val="-2"/>
          <w:sz w:val="28"/>
          <w:szCs w:val="28"/>
        </w:rPr>
      </w:pPr>
      <w:r>
        <w:rPr>
          <w:rFonts w:eastAsia="Times New Roman" w:cs="Times New Roman" w:ascii="Times New Roman" w:hAnsi="Times New Roman"/>
          <w:b/>
          <w:spacing w:val="-2"/>
          <w:sz w:val="28"/>
          <w:szCs w:val="28"/>
        </w:rPr>
        <mc:AlternateContent>
          <mc:Choice Requires="wps">
            <w:drawing>
              <wp:anchor distT="0" distB="19050" distL="0" distR="22225" simplePos="0" relativeHeight="6" behindDoc="0" locked="0" layoutInCell="0" allowOverlap="1" wp14:anchorId="297F6B50">
                <wp:simplePos x="0" y="0"/>
                <wp:positionH relativeFrom="margin">
                  <wp:posOffset>2325370</wp:posOffset>
                </wp:positionH>
                <wp:positionV relativeFrom="paragraph">
                  <wp:posOffset>38735</wp:posOffset>
                </wp:positionV>
                <wp:extent cx="1178560" cy="635"/>
                <wp:effectExtent l="5080" t="5080" r="5080" b="5080"/>
                <wp:wrapNone/>
                <wp:docPr id="4" name="Straight Connector 5"/>
                <a:graphic xmlns:a="http://schemas.openxmlformats.org/drawingml/2006/main">
                  <a:graphicData uri="http://schemas.microsoft.com/office/word/2010/wordprocessingShape">
                    <wps:wsp>
                      <wps:cNvSpPr/>
                      <wps:spPr>
                        <a:xfrm>
                          <a:off x="0" y="0"/>
                          <a:ext cx="1178640" cy="720"/>
                        </a:xfrm>
                        <a:prstGeom prst="line">
                          <a:avLst/>
                        </a:prstGeom>
                        <a:ln>
                          <a:solidFill>
                            <a:srgbClr val="000000"/>
                          </a:solidFill>
                          <a:round/>
                        </a:ln>
                      </wps:spPr>
                      <wps:style>
                        <a:lnRef idx="1">
                          <a:schemeClr val="dk1"/>
                        </a:lnRef>
                        <a:fillRef idx="0">
                          <a:schemeClr val="dk1"/>
                        </a:fillRef>
                        <a:effectRef idx="0">
                          <a:schemeClr val="dk1"/>
                        </a:effectRef>
                        <a:fontRef idx="minor"/>
                      </wps:style>
                      <wps:bodyPr/>
                    </wps:wsp>
                  </a:graphicData>
                </a:graphic>
              </wp:anchor>
            </w:drawing>
          </mc:Choice>
          <mc:Fallback>
            <w:pict>
              <v:line id="shape_0" from="183.1pt,3.05pt" to="275.85pt,3.05pt" stroked="t" o:allowincell="f" style="position:absolute;mso-position-horizontal-relative:margin" wp14:anchorId="297F6B50">
                <v:stroke color="black" weight="9360" joinstyle="round" endcap="flat"/>
                <v:fill o:detectmouseclick="t" on="false"/>
                <w10:wrap type="none"/>
              </v:line>
            </w:pict>
          </mc:Fallback>
        </mc:AlternateContent>
      </w:r>
    </w:p>
    <w:p>
      <w:pPr>
        <w:pStyle w:val="Normal"/>
        <w:shd w:val="clear" w:color="auto" w:fill="FFFFFF"/>
        <w:spacing w:lineRule="atLeast" w:line="234" w:before="120" w:after="120"/>
        <w:jc w:val="center"/>
        <w:rPr>
          <w:rFonts w:ascii="Times New Roman" w:hAnsi="Times New Roman" w:eastAsia="Times New Roman" w:cs="Times New Roman"/>
          <w:b/>
          <w:bCs/>
          <w:sz w:val="28"/>
          <w:szCs w:val="28"/>
        </w:rPr>
      </w:pPr>
      <w:r>
        <w:rPr>
          <w:rFonts w:eastAsia="Times New Roman" w:cs="Times New Roman" w:ascii="Times New Roman" w:hAnsi="Times New Roman"/>
          <w:b/>
          <w:bCs/>
          <w:sz w:val="28"/>
          <w:szCs w:val="28"/>
        </w:rPr>
        <w:t>HỘI ĐỒNG NHÂN DÂN THÀNH PHỐ HỒ CHÍ MINH</w:t>
        <w:br/>
        <w:t>KHÓA XI KỲ HỌP THỨ BA</w:t>
      </w:r>
    </w:p>
    <w:p>
      <w:pPr>
        <w:pStyle w:val="Normal"/>
        <w:tabs>
          <w:tab w:val="clear" w:pos="720"/>
          <w:tab w:val="left" w:pos="3905" w:leader="none"/>
        </w:tabs>
        <w:spacing w:lineRule="auto" w:line="240" w:before="0" w:after="0"/>
        <w:ind w:firstLine="709"/>
        <w:jc w:val="both"/>
        <w:rPr>
          <w:rStyle w:val="Hyperlink"/>
          <w:rFonts w:ascii="Times New Roman" w:hAnsi="Times New Roman" w:eastAsia="Times New Roman" w:cs="Times New Roman"/>
          <w:i/>
          <w:iCs/>
          <w:color w:val="auto"/>
          <w:sz w:val="20"/>
          <w:szCs w:val="28"/>
          <w:u w:val="none"/>
        </w:rPr>
      </w:pPr>
      <w:r>
        <w:rPr>
          <w:rStyle w:val="Hyperlink"/>
          <w:rFonts w:eastAsia="Times New Roman" w:cs="Times New Roman" w:ascii="Times New Roman" w:hAnsi="Times New Roman"/>
          <w:i/>
          <w:iCs/>
          <w:color w:val="auto"/>
          <w:sz w:val="28"/>
          <w:szCs w:val="28"/>
          <w:u w:val="none"/>
        </w:rPr>
        <w:tab/>
      </w:r>
    </w:p>
    <w:p>
      <w:pPr>
        <w:pStyle w:val="Normal"/>
        <w:spacing w:lineRule="exact" w:line="340" w:before="120" w:after="120"/>
        <w:ind w:firstLine="709"/>
        <w:jc w:val="both"/>
        <w:rPr>
          <w:rStyle w:val="Hyperlink"/>
          <w:rFonts w:ascii="Times New Roman" w:hAnsi="Times New Roman" w:eastAsia="Times New Roman" w:cs="Times New Roman"/>
          <w:i/>
          <w:iCs/>
          <w:color w:val="auto"/>
          <w:sz w:val="28"/>
          <w:szCs w:val="28"/>
          <w:u w:val="none"/>
        </w:rPr>
      </w:pPr>
      <w:r>
        <w:rPr>
          <w:rStyle w:val="Hyperlink"/>
          <w:rFonts w:eastAsia="Times New Roman" w:cs="Times New Roman" w:ascii="Times New Roman" w:hAnsi="Times New Roman"/>
          <w:i/>
          <w:iCs/>
          <w:color w:val="auto"/>
          <w:sz w:val="28"/>
          <w:szCs w:val="28"/>
          <w:u w:val="none"/>
        </w:rPr>
        <w:t xml:space="preserve">Căn cứ </w:t>
      </w:r>
      <w:r>
        <w:rPr>
          <w:rFonts w:cs="Times New Roman" w:ascii="Times New Roman" w:hAnsi="Times New Roman"/>
          <w:i/>
          <w:iCs/>
          <w:sz w:val="28"/>
          <w:szCs w:val="28"/>
        </w:rPr>
        <w:t>Luật tổ chức chính quyền địa phương số 72/2025/QH15</w:t>
      </w:r>
      <w:r>
        <w:rPr>
          <w:rStyle w:val="Hyperlink"/>
          <w:rFonts w:eastAsia="Times New Roman" w:cs="Times New Roman" w:ascii="Times New Roman" w:hAnsi="Times New Roman"/>
          <w:i/>
          <w:iCs/>
          <w:color w:val="auto"/>
          <w:sz w:val="28"/>
          <w:szCs w:val="28"/>
          <w:u w:val="none"/>
        </w:rPr>
        <w:t xml:space="preserve">; </w:t>
      </w:r>
    </w:p>
    <w:p>
      <w:pPr>
        <w:pStyle w:val="Normal"/>
        <w:spacing w:lineRule="exact" w:line="340" w:before="120" w:after="120"/>
        <w:ind w:firstLine="709"/>
        <w:jc w:val="both"/>
        <w:rPr>
          <w:rStyle w:val="Hyperlink"/>
          <w:rFonts w:ascii="Times New Roman" w:hAnsi="Times New Roman" w:eastAsia="Times New Roman" w:cs="Times New Roman"/>
          <w:i/>
          <w:iCs/>
          <w:color w:val="auto"/>
          <w:spacing w:val="-4"/>
          <w:sz w:val="28"/>
          <w:szCs w:val="28"/>
          <w:u w:val="none"/>
        </w:rPr>
      </w:pPr>
      <w:r>
        <w:rPr>
          <w:rStyle w:val="Hyperlink"/>
          <w:rFonts w:eastAsia="Times New Roman" w:cs="Times New Roman" w:ascii="Times New Roman" w:hAnsi="Times New Roman"/>
          <w:i/>
          <w:iCs/>
          <w:color w:val="auto"/>
          <w:spacing w:val="-4"/>
          <w:sz w:val="28"/>
          <w:szCs w:val="28"/>
          <w:u w:val="none"/>
        </w:rPr>
        <w:t xml:space="preserve">Căn cứ </w:t>
      </w:r>
      <w:r>
        <w:rPr>
          <w:rFonts w:cs="Times New Roman" w:ascii="Times New Roman" w:hAnsi="Times New Roman"/>
          <w:i/>
          <w:iCs/>
          <w:spacing w:val="-4"/>
          <w:sz w:val="28"/>
          <w:szCs w:val="28"/>
        </w:rPr>
        <w:t>Luật ban hành văn bản quy phạm pháp luật số 64/2025/QH15 được sửa đổi, bổ sung bởi Luật số 87/2025/QH15</w:t>
      </w:r>
      <w:r>
        <w:rPr>
          <w:rStyle w:val="Hyperlink"/>
          <w:rFonts w:eastAsia="Times New Roman" w:cs="Times New Roman" w:ascii="Times New Roman" w:hAnsi="Times New Roman"/>
          <w:i/>
          <w:iCs/>
          <w:color w:val="auto"/>
          <w:spacing w:val="-4"/>
          <w:sz w:val="28"/>
          <w:szCs w:val="28"/>
          <w:u w:val="none"/>
        </w:rPr>
        <w:t xml:space="preserve">;  </w:t>
      </w:r>
    </w:p>
    <w:p>
      <w:pPr>
        <w:pStyle w:val="Normal"/>
        <w:spacing w:lineRule="exact" w:line="340" w:before="120" w:after="120"/>
        <w:ind w:firstLine="709"/>
        <w:jc w:val="both"/>
        <w:rPr>
          <w:rStyle w:val="Hyperlink"/>
          <w:rFonts w:ascii="Times New Roman" w:hAnsi="Times New Roman" w:eastAsia="Times New Roman" w:cs="Times New Roman"/>
          <w:i/>
          <w:iCs/>
          <w:color w:val="auto"/>
          <w:sz w:val="28"/>
          <w:szCs w:val="28"/>
          <w:u w:val="none"/>
        </w:rPr>
      </w:pPr>
      <w:r>
        <w:rPr>
          <w:rStyle w:val="Hyperlink"/>
          <w:rFonts w:eastAsia="Times New Roman" w:cs="Times New Roman" w:ascii="Times New Roman" w:hAnsi="Times New Roman"/>
          <w:i/>
          <w:iCs/>
          <w:color w:val="auto"/>
          <w:sz w:val="28"/>
          <w:szCs w:val="28"/>
          <w:u w:val="none"/>
        </w:rPr>
        <w:t>Căn cứ Luật Ngân sách số 89/2025/QH15;</w:t>
      </w:r>
    </w:p>
    <w:p>
      <w:pPr>
        <w:pStyle w:val="Normal"/>
        <w:spacing w:lineRule="exact" w:line="340" w:before="120" w:after="120"/>
        <w:ind w:firstLine="709"/>
        <w:jc w:val="both"/>
        <w:rPr>
          <w:rStyle w:val="Hyperlink"/>
          <w:rFonts w:ascii="Times New Roman" w:hAnsi="Times New Roman" w:eastAsia="Times New Roman" w:cs="Times New Roman"/>
          <w:i/>
          <w:iCs/>
          <w:color w:val="auto"/>
          <w:sz w:val="28"/>
          <w:szCs w:val="28"/>
          <w:u w:val="none"/>
        </w:rPr>
      </w:pPr>
      <w:r>
        <w:rPr>
          <w:rStyle w:val="Hyperlink"/>
          <w:rFonts w:eastAsia="Times New Roman" w:cs="Times New Roman" w:ascii="Times New Roman" w:hAnsi="Times New Roman"/>
          <w:i/>
          <w:iCs/>
          <w:color w:val="auto"/>
          <w:sz w:val="28"/>
          <w:szCs w:val="28"/>
          <w:u w:val="none"/>
        </w:rPr>
        <w:t>Căn cứ Nghị định số 84/2024/NĐ-CP ngày 10 tháng 7 năm 2024 của Chính phủ về thí điểm phân cấp quản lý nhà nước một số lĩnh vực cho chính quyền Thành phố Hồ Chí Minh;</w:t>
      </w:r>
    </w:p>
    <w:p>
      <w:pPr>
        <w:pStyle w:val="Normal"/>
        <w:spacing w:lineRule="exact" w:line="340" w:before="120" w:after="120"/>
        <w:ind w:firstLine="709"/>
        <w:jc w:val="both"/>
        <w:rPr>
          <w:rFonts w:ascii="Times New Roman" w:hAnsi="Times New Roman" w:eastAsia="Times New Roman" w:cs="Times New Roman"/>
          <w:i/>
          <w:iCs/>
          <w:sz w:val="28"/>
          <w:szCs w:val="28"/>
        </w:rPr>
      </w:pPr>
      <w:r>
        <w:rPr>
          <w:rFonts w:eastAsia="Times New Roman" w:cs="Times New Roman" w:ascii="Times New Roman" w:hAnsi="Times New Roman"/>
          <w:i/>
          <w:iCs/>
          <w:sz w:val="28"/>
          <w:szCs w:val="28"/>
        </w:rPr>
        <w:t>Căn cứ Nghị định số 78/2025/NĐ-CP ngày 01 tháng 4 năm 2025 của Chính phủ quy định chi tiết một số điều và biện pháp để tổ chức, hướng dẫn thi hành Luật Ban hành văn bản quy phạm pháp luật;</w:t>
      </w:r>
    </w:p>
    <w:p>
      <w:pPr>
        <w:pStyle w:val="Normal"/>
        <w:spacing w:lineRule="exact" w:line="340" w:before="120" w:after="120"/>
        <w:ind w:firstLine="709"/>
        <w:jc w:val="both"/>
        <w:rPr>
          <w:rFonts w:ascii="Times New Roman" w:hAnsi="Times New Roman" w:eastAsia="Times New Roman" w:cs="Times New Roman"/>
          <w:i/>
          <w:iCs/>
          <w:sz w:val="28"/>
          <w:szCs w:val="28"/>
        </w:rPr>
      </w:pPr>
      <w:r>
        <w:rPr>
          <w:rFonts w:eastAsia="Times New Roman" w:cs="Times New Roman" w:ascii="Times New Roman" w:hAnsi="Times New Roman"/>
          <w:i/>
          <w:iCs/>
          <w:sz w:val="28"/>
          <w:szCs w:val="28"/>
        </w:rPr>
        <w:t xml:space="preserve">Căn cứ Nghị định số 187/2025/NĐ-CP ngày 01 tháng 7 năm 2025 của Chính phủ </w:t>
      </w:r>
      <w:r>
        <w:rPr>
          <w:rFonts w:eastAsia="Times New Roman" w:cs="Times New Roman" w:ascii="Times New Roman" w:hAnsi="Times New Roman"/>
          <w:i/>
          <w:iCs/>
          <w:sz w:val="28"/>
          <w:szCs w:val="28"/>
          <w:lang w:val="vi-VN"/>
        </w:rPr>
        <w:t>sửa đổi, bổ sung một số điều của</w:t>
      </w:r>
      <w:r>
        <w:rPr>
          <w:rFonts w:eastAsia="Times New Roman" w:cs="Times New Roman" w:ascii="Times New Roman" w:hAnsi="Times New Roman"/>
          <w:i/>
          <w:iCs/>
          <w:sz w:val="28"/>
          <w:szCs w:val="28"/>
        </w:rPr>
        <w:t xml:space="preserve"> Nghị định số 78/2025/NĐ-CP ngày 01 tháng 4 năm 2025 của Chính phủ quy định chi tiết một số điều và biện pháp để tổ chức, hướng dẫn thi hành Luật Ban hành văn bản quy phạm pháp luật;</w:t>
      </w:r>
    </w:p>
    <w:p>
      <w:pPr>
        <w:pStyle w:val="Normal"/>
        <w:spacing w:lineRule="exact" w:line="340" w:before="120" w:after="120"/>
        <w:ind w:firstLine="709"/>
        <w:jc w:val="both"/>
        <w:rPr>
          <w:rFonts w:ascii="Times New Roman" w:hAnsi="Times New Roman" w:eastAsia="Times New Roman" w:cs="Times New Roman"/>
          <w:bCs/>
          <w:i/>
          <w:iCs/>
          <w:sz w:val="28"/>
          <w:szCs w:val="28"/>
        </w:rPr>
      </w:pPr>
      <w:r>
        <w:rPr>
          <w:rStyle w:val="Hyperlink"/>
          <w:rFonts w:cs="Times New Roman" w:ascii="Times New Roman" w:hAnsi="Times New Roman"/>
          <w:i/>
          <w:iCs/>
          <w:color w:val="auto"/>
          <w:sz w:val="28"/>
          <w:szCs w:val="28"/>
          <w:u w:val="none"/>
        </w:rPr>
        <w:t>Xét Tờ trình số        /TTr-UBND ngày        tháng      năm 2026 của Ủy ban nhân dân Thành phố về</w:t>
      </w:r>
      <w:r>
        <w:rPr>
          <w:rFonts w:eastAsia="Times New Roman" w:cs="Times New Roman" w:ascii="Times New Roman" w:hAnsi="Times New Roman"/>
          <w:b/>
          <w:i/>
          <w:iCs/>
          <w:sz w:val="28"/>
          <w:szCs w:val="28"/>
        </w:rPr>
        <w:t xml:space="preserve"> </w:t>
      </w:r>
      <w:r>
        <w:rPr>
          <w:rFonts w:eastAsia="Times New Roman" w:cs="Times New Roman" w:ascii="Times New Roman" w:hAnsi="Times New Roman"/>
          <w:i/>
          <w:iCs/>
          <w:sz w:val="28"/>
          <w:szCs w:val="28"/>
          <w:lang w:val="vi-VN"/>
        </w:rPr>
        <w:t>chế độ hỗ trợ</w:t>
      </w:r>
      <w:r>
        <w:rPr>
          <w:rFonts w:eastAsia="Times New Roman" w:cs="Times New Roman" w:ascii="Times New Roman" w:hAnsi="Times New Roman"/>
          <w:i/>
          <w:iCs/>
          <w:sz w:val="28"/>
          <w:szCs w:val="28"/>
        </w:rPr>
        <w:t xml:space="preserve"> thêm đối với người hoạt động không chuyên trách cấp xã; người tham gia hoạt động ở khu phố, ấp, thôn, khu dân cư, tổ dân cư, tổ nhân dân tự quản khi thực hiện sắp xếp theo các Kết luận của Bộ chính trị, Ban Bí thư trên địa bàn Thành phố Hồ Chí Minh</w:t>
      </w:r>
      <w:r>
        <w:rPr>
          <w:rFonts w:eastAsia="Times New Roman" w:cs="Times New Roman" w:ascii="Times New Roman" w:hAnsi="Times New Roman"/>
          <w:i/>
          <w:iCs/>
          <w:sz w:val="28"/>
          <w:szCs w:val="28"/>
          <w:shd w:fill="FFFFFF" w:val="clear"/>
        </w:rPr>
        <w:t xml:space="preserve">; </w:t>
      </w:r>
      <w:r>
        <w:rPr>
          <w:rFonts w:eastAsia="Times New Roman" w:cs="Times New Roman" w:ascii="Times New Roman" w:hAnsi="Times New Roman"/>
          <w:i/>
          <w:iCs/>
          <w:spacing w:val="-4"/>
          <w:sz w:val="28"/>
          <w:szCs w:val="28"/>
          <w:shd w:fill="FFFFFF" w:val="clear"/>
        </w:rPr>
        <w:t>Báo cáo thẩm tra số …/BC-BPC ngày …. tháng …. năm 2026 của Ban Pháp chế Hội đồng nhân dân Thành phố; ý kiến thảo luận của đại biểu Hội đồng nhân dân tại kỳ họp</w:t>
      </w:r>
      <w:r>
        <w:rPr>
          <w:rFonts w:eastAsia="Times New Roman" w:cs="Times New Roman" w:ascii="Times New Roman" w:hAnsi="Times New Roman"/>
          <w:i/>
          <w:iCs/>
          <w:sz w:val="28"/>
          <w:szCs w:val="28"/>
          <w:shd w:fill="FFFFFF" w:val="clear"/>
        </w:rPr>
        <w:t>.</w:t>
      </w:r>
    </w:p>
    <w:p>
      <w:pPr>
        <w:pStyle w:val="Normal"/>
        <w:spacing w:lineRule="exact" w:line="340" w:before="120" w:after="120"/>
        <w:ind w:firstLine="709"/>
        <w:jc w:val="both"/>
        <w:rPr>
          <w:rFonts w:ascii="Times New Roman" w:hAnsi="Times New Roman" w:eastAsia="Times New Roman" w:cs="Times New Roman"/>
          <w:bCs/>
          <w:i/>
          <w:iCs/>
          <w:spacing w:val="-4"/>
          <w:sz w:val="28"/>
          <w:szCs w:val="28"/>
        </w:rPr>
      </w:pPr>
      <w:r>
        <w:rPr>
          <w:rFonts w:eastAsia="Times New Roman" w:cs="Times New Roman" w:ascii="Times New Roman" w:hAnsi="Times New Roman"/>
          <w:i/>
          <w:iCs/>
          <w:spacing w:val="-4"/>
          <w:sz w:val="28"/>
          <w:szCs w:val="28"/>
          <w:shd w:fill="FFFFFF" w:val="clear"/>
        </w:rPr>
        <w:t xml:space="preserve">Hội đồng nhân dân Thành phố ban hành Nghị quyết </w:t>
      </w:r>
      <w:r>
        <w:rPr>
          <w:rStyle w:val="Hyperlink"/>
          <w:rFonts w:cs="Times New Roman" w:ascii="Times New Roman" w:hAnsi="Times New Roman"/>
          <w:i/>
          <w:iCs/>
          <w:color w:val="auto"/>
          <w:spacing w:val="-4"/>
          <w:sz w:val="28"/>
          <w:szCs w:val="28"/>
          <w:u w:val="none"/>
        </w:rPr>
        <w:t>về</w:t>
      </w:r>
      <w:r>
        <w:rPr>
          <w:rFonts w:eastAsia="Times New Roman" w:cs="Times New Roman" w:ascii="Times New Roman" w:hAnsi="Times New Roman"/>
          <w:b/>
          <w:i/>
          <w:iCs/>
          <w:spacing w:val="-4"/>
          <w:sz w:val="28"/>
          <w:szCs w:val="28"/>
        </w:rPr>
        <w:t xml:space="preserve"> </w:t>
      </w:r>
      <w:r>
        <w:rPr>
          <w:rFonts w:eastAsia="Times New Roman" w:cs="Times New Roman" w:ascii="Times New Roman" w:hAnsi="Times New Roman"/>
          <w:i/>
          <w:iCs/>
          <w:spacing w:val="-4"/>
          <w:sz w:val="28"/>
          <w:szCs w:val="28"/>
          <w:lang w:val="vi-VN"/>
        </w:rPr>
        <w:t>chế độ hỗ trợ</w:t>
      </w:r>
      <w:r>
        <w:rPr>
          <w:rFonts w:eastAsia="Times New Roman" w:cs="Times New Roman" w:ascii="Times New Roman" w:hAnsi="Times New Roman"/>
          <w:i/>
          <w:iCs/>
          <w:spacing w:val="-4"/>
          <w:sz w:val="28"/>
          <w:szCs w:val="28"/>
        </w:rPr>
        <w:t xml:space="preserve"> thêm đối với người hoạt động không chuyên trách ở cấp xã; người tham gia hoạt động ở khu phố, ấp, thôn, khu dân cư, tổ dân cư, tổ nhân dân tự quản khi thực hiện sắp xếp theo các Kết luận của Bộ chính trị, Ban Bí thư trên địa bàn Thành phố Hồ Chí Minh</w:t>
      </w:r>
      <w:r>
        <w:rPr>
          <w:rStyle w:val="Hyperlink"/>
          <w:rFonts w:cs="Times New Roman" w:ascii="Times New Roman" w:hAnsi="Times New Roman"/>
          <w:i/>
          <w:iCs/>
          <w:color w:val="auto"/>
          <w:spacing w:val="-4"/>
          <w:sz w:val="28"/>
          <w:szCs w:val="28"/>
          <w:u w:val="none"/>
        </w:rPr>
        <w:t>.</w:t>
      </w:r>
    </w:p>
    <w:p>
      <w:pPr>
        <w:pStyle w:val="NormalWeb"/>
        <w:shd w:val="clear" w:color="auto" w:fill="FFFFFF"/>
        <w:spacing w:lineRule="exact" w:line="360" w:beforeAutospacing="0" w:before="120" w:afterAutospacing="0" w:after="120"/>
        <w:ind w:firstLine="709"/>
        <w:jc w:val="both"/>
        <w:textAlignment w:val="baseline"/>
        <w:rPr>
          <w:iCs/>
          <w:sz w:val="28"/>
          <w:szCs w:val="28"/>
        </w:rPr>
      </w:pPr>
      <w:r>
        <w:rPr>
          <w:rStyle w:val="Strong"/>
          <w:spacing w:val="2"/>
          <w:sz w:val="28"/>
          <w:szCs w:val="28"/>
        </w:rPr>
        <w:t>Điều </w:t>
      </w:r>
      <w:bookmarkStart w:id="1" w:name="Dieu_1"/>
      <w:bookmarkEnd w:id="1"/>
      <w:r>
        <w:rPr>
          <w:rStyle w:val="Strong"/>
          <w:spacing w:val="2"/>
          <w:sz w:val="28"/>
          <w:szCs w:val="28"/>
        </w:rPr>
        <w:t>1</w:t>
      </w:r>
      <w:r>
        <w:rPr>
          <w:spacing w:val="2"/>
          <w:sz w:val="28"/>
          <w:szCs w:val="28"/>
        </w:rPr>
        <w:t>.</w:t>
      </w:r>
      <w:r>
        <w:rPr>
          <w:b/>
          <w:spacing w:val="2"/>
          <w:sz w:val="28"/>
          <w:szCs w:val="28"/>
        </w:rPr>
        <w:t xml:space="preserve"> </w:t>
      </w:r>
      <w:r>
        <w:rPr>
          <w:rStyle w:val="Strong"/>
          <w:spacing w:val="2"/>
          <w:sz w:val="28"/>
          <w:szCs w:val="28"/>
        </w:rPr>
        <w:t>Phạm vi điều chỉnh</w:t>
      </w:r>
    </w:p>
    <w:p>
      <w:pPr>
        <w:pStyle w:val="Normal"/>
        <w:spacing w:lineRule="exact" w:line="360" w:before="120" w:after="120"/>
        <w:ind w:firstLine="709"/>
        <w:jc w:val="both"/>
        <w:rPr>
          <w:rFonts w:ascii="Times New Roman" w:hAnsi="Times New Roman" w:eastAsia="Times New Roman" w:cs="Times New Roman"/>
          <w:bCs/>
          <w:i/>
          <w:iCs/>
          <w:sz w:val="28"/>
          <w:szCs w:val="28"/>
        </w:rPr>
      </w:pPr>
      <w:bookmarkStart w:id="2" w:name="_Hlk228833999"/>
      <w:r>
        <w:rPr>
          <w:rFonts w:eastAsia="Calibri" w:cs="Times New Roman" w:ascii="Times New Roman" w:hAnsi="Times New Roman"/>
          <w:iCs/>
          <w:sz w:val="28"/>
          <w:szCs w:val="28"/>
          <w:lang w:val="vi-VN"/>
        </w:rPr>
        <w:t>Nghị quyết này quy định đối tượng, chế độ hỗ trợ</w:t>
      </w:r>
      <w:r>
        <w:rPr>
          <w:rFonts w:eastAsia="Calibri" w:cs="Times New Roman" w:ascii="Times New Roman" w:hAnsi="Times New Roman"/>
          <w:iCs/>
          <w:sz w:val="28"/>
          <w:szCs w:val="28"/>
        </w:rPr>
        <w:t xml:space="preserve"> thêm đối với người hoạt động không chuyên trách cấp xã; người tham gia hoạt động ở khu phố, ấp, thôn, khu dân cư, tổ dân cư, tổ nhân dân tự quản khi thực hiện sắp xếp theo các Kết luận của Bộ chính trị, Ban Bí thư trên địa bàn Thành phố Hồ Chí Minh</w:t>
      </w:r>
      <w:bookmarkEnd w:id="2"/>
      <w:r>
        <w:rPr>
          <w:rFonts w:eastAsia="Calibri" w:cs="Times New Roman" w:ascii="Times New Roman" w:hAnsi="Times New Roman"/>
          <w:iCs/>
          <w:sz w:val="28"/>
          <w:szCs w:val="28"/>
          <w:lang w:val="vi-VN"/>
        </w:rPr>
        <w:t>.</w:t>
      </w:r>
    </w:p>
    <w:p>
      <w:pPr>
        <w:pStyle w:val="NormalWeb"/>
        <w:shd w:val="clear" w:color="auto" w:fill="FFFFFF"/>
        <w:spacing w:lineRule="exact" w:line="360" w:beforeAutospacing="0" w:before="120" w:afterAutospacing="0" w:after="120"/>
        <w:ind w:firstLine="709"/>
        <w:jc w:val="both"/>
        <w:rPr>
          <w:b/>
          <w:iCs/>
          <w:sz w:val="28"/>
          <w:szCs w:val="28"/>
          <w:lang w:val="vi-VN"/>
        </w:rPr>
      </w:pPr>
      <w:r>
        <w:rPr>
          <w:b/>
          <w:iCs/>
          <w:sz w:val="28"/>
          <w:szCs w:val="28"/>
        </w:rPr>
        <w:t xml:space="preserve">Điều </w:t>
      </w:r>
      <w:r>
        <w:rPr>
          <w:b/>
          <w:iCs/>
          <w:sz w:val="28"/>
          <w:szCs w:val="28"/>
          <w:lang w:val="vi-VN"/>
        </w:rPr>
        <w:t>2. Đối tượng áp dụng</w:t>
      </w:r>
    </w:p>
    <w:p>
      <w:pPr>
        <w:pStyle w:val="NormalWeb"/>
        <w:shd w:val="clear" w:color="auto" w:fill="FFFFFF"/>
        <w:spacing w:lineRule="exact" w:line="360" w:beforeAutospacing="0" w:before="120" w:afterAutospacing="0" w:after="120"/>
        <w:ind w:firstLine="709"/>
        <w:jc w:val="both"/>
        <w:rPr>
          <w:rFonts w:eastAsia="Calibri"/>
          <w:bCs/>
          <w:iCs/>
          <w:spacing w:val="-2"/>
          <w:sz w:val="28"/>
          <w:szCs w:val="28"/>
        </w:rPr>
      </w:pPr>
      <w:bookmarkStart w:id="3" w:name="_Hlk228834013"/>
      <w:r>
        <w:rPr>
          <w:rFonts w:eastAsia="Calibri"/>
          <w:bCs/>
          <w:iCs/>
          <w:spacing w:val="-2"/>
          <w:sz w:val="28"/>
          <w:szCs w:val="28"/>
        </w:rPr>
        <w:t>1. Người hoạt động không chuyên trách ở cấp xã kết thúc hoạt động từ ngày 31 tháng 5 năm 2026;</w:t>
      </w:r>
    </w:p>
    <w:p>
      <w:pPr>
        <w:pStyle w:val="NormalWeb"/>
        <w:shd w:val="clear" w:color="auto" w:fill="FFFFFF"/>
        <w:spacing w:lineRule="exact" w:line="360" w:beforeAutospacing="0" w:before="120" w:afterAutospacing="0" w:after="120"/>
        <w:ind w:firstLine="709"/>
        <w:jc w:val="both"/>
        <w:rPr>
          <w:rFonts w:eastAsia="Calibri"/>
          <w:bCs/>
          <w:iCs/>
          <w:spacing w:val="-2"/>
          <w:sz w:val="28"/>
          <w:szCs w:val="28"/>
        </w:rPr>
      </w:pPr>
      <w:r>
        <w:rPr>
          <w:rFonts w:eastAsia="Calibri"/>
          <w:bCs/>
          <w:iCs/>
          <w:spacing w:val="-2"/>
          <w:sz w:val="28"/>
          <w:szCs w:val="28"/>
        </w:rPr>
        <w:t xml:space="preserve">2. Người hoạt động không chuyên trách ở khu phố, ấp, thôn, khu dân cư; người trực tiếp tham gia hoạt động ở khu phố, ấp, thôn, khu dân cư </w:t>
      </w:r>
      <w:bookmarkStart w:id="4" w:name="dieu_10"/>
      <w:r>
        <w:rPr>
          <w:rFonts w:eastAsia="Calibri"/>
          <w:bCs/>
          <w:iCs/>
          <w:spacing w:val="-2"/>
          <w:sz w:val="28"/>
          <w:szCs w:val="28"/>
        </w:rPr>
        <w:t xml:space="preserve">dôi dư do sắp xếp khu phố, ấp, thôn, khu dân cư và nghỉ ngay </w:t>
      </w:r>
      <w:bookmarkEnd w:id="4"/>
      <w:r>
        <w:rPr>
          <w:rFonts w:eastAsia="Calibri"/>
          <w:bCs/>
          <w:iCs/>
          <w:spacing w:val="-2"/>
          <w:sz w:val="28"/>
          <w:szCs w:val="28"/>
        </w:rPr>
        <w:t>kể từ khi có Nghị quyết sắp xếp của cấp có thẩm quyền;</w:t>
      </w:r>
    </w:p>
    <w:p>
      <w:pPr>
        <w:pStyle w:val="NormalWeb"/>
        <w:shd w:val="clear" w:color="auto" w:fill="FFFFFF"/>
        <w:spacing w:lineRule="exact" w:line="360" w:beforeAutospacing="0" w:before="120" w:afterAutospacing="0" w:after="120"/>
        <w:ind w:firstLine="709"/>
        <w:jc w:val="both"/>
        <w:rPr>
          <w:rFonts w:eastAsia="Calibri"/>
          <w:bCs/>
          <w:iCs/>
          <w:color w:themeColor="text1" w:val="000000"/>
          <w:spacing w:val="-2"/>
          <w:sz w:val="28"/>
          <w:szCs w:val="28"/>
        </w:rPr>
      </w:pPr>
      <w:r>
        <w:rPr>
          <w:rFonts w:eastAsia="Calibri"/>
          <w:bCs/>
          <w:iCs/>
          <w:color w:themeColor="text1" w:val="000000"/>
          <w:spacing w:val="-2"/>
          <w:sz w:val="28"/>
          <w:szCs w:val="28"/>
        </w:rPr>
        <w:t>3. Người giữ các chức danh Tổ trưởng, Tổ phó Tổ dân cư, Tổ nhân dân tự quản kết thúc hoạt động kể từ khi có Nghị quyết kết thúc mô hình Tổ dân cư, Tổ nhân dân tự quản của cấp có thẩm quyền.</w:t>
      </w:r>
      <w:bookmarkEnd w:id="3"/>
    </w:p>
    <w:p>
      <w:pPr>
        <w:pStyle w:val="NormalWeb"/>
        <w:shd w:val="clear" w:color="auto" w:fill="FFFFFF"/>
        <w:spacing w:lineRule="exact" w:line="360" w:beforeAutospacing="0" w:before="120" w:afterAutospacing="0" w:after="120"/>
        <w:ind w:firstLine="709"/>
        <w:jc w:val="both"/>
        <w:rPr>
          <w:rFonts w:eastAsia="Calibri"/>
          <w:b/>
          <w:bCs/>
          <w:iCs/>
          <w:color w:themeColor="text1" w:val="000000"/>
          <w:sz w:val="28"/>
          <w:szCs w:val="28"/>
        </w:rPr>
      </w:pPr>
      <w:r>
        <w:rPr>
          <w:rFonts w:eastAsia="Calibri"/>
          <w:b/>
          <w:bCs/>
          <w:iCs/>
          <w:color w:themeColor="text1" w:val="000000"/>
          <w:sz w:val="28"/>
          <w:szCs w:val="28"/>
        </w:rPr>
        <w:t xml:space="preserve">Điều 3. Chế độ hỗ trợ thêm đối với người hoạt động không chuyên trách ở cấp xã khi </w:t>
      </w:r>
      <w:r>
        <w:rPr>
          <w:rFonts w:eastAsia="Calibri"/>
          <w:b/>
          <w:bCs/>
          <w:iCs/>
          <w:color w:themeColor="text1" w:val="000000"/>
          <w:sz w:val="28"/>
          <w:szCs w:val="28"/>
          <w:shd w:fill="FFFFFF" w:val="clear"/>
        </w:rPr>
        <w:t>kết thúc hoạt động từ ngày 31 tháng 5 năm 2026</w:t>
      </w:r>
    </w:p>
    <w:p>
      <w:pPr>
        <w:pStyle w:val="Normal"/>
        <w:spacing w:lineRule="exact" w:line="360" w:before="120" w:after="120"/>
        <w:ind w:firstLine="709"/>
        <w:jc w:val="both"/>
        <w:rPr>
          <w:rFonts w:ascii="Times New Roman" w:hAnsi="Times New Roman" w:eastAsia="Calibri" w:cs="Times New Roman"/>
          <w:bCs/>
          <w:iCs/>
          <w:color w:themeColor="text1" w:val="000000"/>
          <w:spacing w:val="-2"/>
          <w:sz w:val="28"/>
          <w:szCs w:val="28"/>
        </w:rPr>
      </w:pPr>
      <w:bookmarkStart w:id="5" w:name="_Hlk228834038"/>
      <w:r>
        <w:rPr>
          <w:rFonts w:cs="Times New Roman" w:ascii="Times New Roman" w:hAnsi="Times New Roman"/>
          <w:iCs/>
          <w:color w:themeColor="text1" w:val="000000"/>
          <w:sz w:val="28"/>
          <w:szCs w:val="28"/>
          <w:shd w:fill="FFFFFF" w:val="clear"/>
        </w:rPr>
        <w:t>1. Hỗ trợ</w:t>
      </w:r>
      <w:r>
        <w:rPr>
          <w:rFonts w:cs="Times New Roman" w:ascii="Times New Roman" w:hAnsi="Times New Roman"/>
          <w:iCs/>
          <w:color w:themeColor="text1" w:val="000000"/>
          <w:sz w:val="28"/>
          <w:szCs w:val="28"/>
          <w:shd w:fill="FFFFFF" w:val="clear"/>
          <w:lang w:val="vi-VN"/>
        </w:rPr>
        <w:t xml:space="preserve"> 1,</w:t>
      </w:r>
      <w:r>
        <w:rPr>
          <w:rFonts w:cs="Times New Roman" w:ascii="Times New Roman" w:hAnsi="Times New Roman"/>
          <w:iCs/>
          <w:color w:themeColor="text1" w:val="000000"/>
          <w:sz w:val="28"/>
          <w:szCs w:val="28"/>
          <w:shd w:fill="FFFFFF" w:val="clear"/>
        </w:rPr>
        <w:t>5</w:t>
      </w:r>
      <w:r>
        <w:rPr>
          <w:rFonts w:cs="Times New Roman" w:ascii="Times New Roman" w:hAnsi="Times New Roman"/>
          <w:iCs/>
          <w:color w:themeColor="text1" w:val="000000"/>
          <w:sz w:val="28"/>
          <w:szCs w:val="28"/>
          <w:shd w:fill="FFFFFF" w:val="clear"/>
          <w:lang w:val="vi-VN"/>
        </w:rPr>
        <w:t xml:space="preserve"> </w:t>
      </w:r>
      <w:r>
        <w:rPr>
          <w:rFonts w:cs="Times New Roman" w:ascii="Times New Roman" w:hAnsi="Times New Roman"/>
          <w:iCs/>
          <w:color w:themeColor="text1" w:val="000000"/>
          <w:sz w:val="28"/>
          <w:szCs w:val="28"/>
          <w:shd w:fill="FFFFFF" w:val="clear"/>
        </w:rPr>
        <w:t xml:space="preserve">lần mức lương cơ sở cho mỗi năm công tác đối với trường hợp người hoạt động không chuyên trách sau khi kết thúc hoạt động không </w:t>
      </w:r>
      <w:r>
        <w:rPr>
          <w:rFonts w:eastAsia="Calibri" w:cs="Times New Roman" w:ascii="Times New Roman" w:hAnsi="Times New Roman"/>
          <w:bCs/>
          <w:iCs/>
          <w:color w:themeColor="text1" w:val="000000"/>
          <w:spacing w:val="-2"/>
          <w:sz w:val="28"/>
          <w:szCs w:val="28"/>
        </w:rPr>
        <w:t xml:space="preserve">được bầu cử, tuyển dụng lại vào các cơ quan, tổ chức, đơn vị hưởng lương từ ngân sách nhà nước hoặc không được bố trí làm tại khu phố, ấp, thôn, khu dân cư. </w:t>
      </w:r>
    </w:p>
    <w:p>
      <w:pPr>
        <w:pStyle w:val="Normal"/>
        <w:spacing w:lineRule="exact" w:line="360" w:before="120" w:after="120"/>
        <w:ind w:firstLine="709"/>
        <w:jc w:val="both"/>
        <w:rPr>
          <w:rStyle w:val="Strong"/>
          <w:rFonts w:ascii="Times New Roman" w:hAnsi="Times New Roman" w:cs="Times New Roman"/>
          <w:color w:themeColor="text1" w:val="000000"/>
          <w:spacing w:val="2"/>
          <w:sz w:val="28"/>
          <w:szCs w:val="28"/>
        </w:rPr>
      </w:pPr>
      <w:r>
        <w:rPr>
          <w:rFonts w:cs="Times New Roman" w:ascii="Times New Roman" w:hAnsi="Times New Roman"/>
          <w:iCs/>
          <w:color w:themeColor="text1" w:val="000000"/>
          <w:sz w:val="28"/>
          <w:szCs w:val="28"/>
          <w:shd w:fill="FFFFFF" w:val="clear"/>
        </w:rPr>
        <w:t>2. Hỗ trợ</w:t>
      </w:r>
      <w:r>
        <w:rPr>
          <w:rFonts w:cs="Times New Roman" w:ascii="Times New Roman" w:hAnsi="Times New Roman"/>
          <w:iCs/>
          <w:color w:themeColor="text1" w:val="000000"/>
          <w:sz w:val="28"/>
          <w:szCs w:val="28"/>
          <w:shd w:fill="FFFFFF" w:val="clear"/>
          <w:lang w:val="vi-VN"/>
        </w:rPr>
        <w:t xml:space="preserve"> 1,</w:t>
      </w:r>
      <w:r>
        <w:rPr>
          <w:rFonts w:cs="Times New Roman" w:ascii="Times New Roman" w:hAnsi="Times New Roman"/>
          <w:iCs/>
          <w:color w:themeColor="text1" w:val="000000"/>
          <w:sz w:val="28"/>
          <w:szCs w:val="28"/>
          <w:shd w:fill="FFFFFF" w:val="clear"/>
        </w:rPr>
        <w:t>0</w:t>
      </w:r>
      <w:r>
        <w:rPr>
          <w:rFonts w:cs="Times New Roman" w:ascii="Times New Roman" w:hAnsi="Times New Roman"/>
          <w:iCs/>
          <w:color w:themeColor="text1" w:val="000000"/>
          <w:sz w:val="28"/>
          <w:szCs w:val="28"/>
          <w:shd w:fill="FFFFFF" w:val="clear"/>
          <w:lang w:val="vi-VN"/>
        </w:rPr>
        <w:t xml:space="preserve"> </w:t>
      </w:r>
      <w:r>
        <w:rPr>
          <w:rFonts w:cs="Times New Roman" w:ascii="Times New Roman" w:hAnsi="Times New Roman"/>
          <w:iCs/>
          <w:color w:themeColor="text1" w:val="000000"/>
          <w:sz w:val="28"/>
          <w:szCs w:val="28"/>
          <w:shd w:fill="FFFFFF" w:val="clear"/>
        </w:rPr>
        <w:t xml:space="preserve">lần mức lương cơ sở cho mỗi năm công tác đối với trường hợp người hoạt động không chuyên trách sau khi kết thúc hoạt động </w:t>
      </w:r>
      <w:r>
        <w:rPr>
          <w:rFonts w:eastAsia="Calibri" w:cs="Times New Roman" w:ascii="Times New Roman" w:hAnsi="Times New Roman"/>
          <w:bCs/>
          <w:iCs/>
          <w:color w:themeColor="text1" w:val="000000"/>
          <w:spacing w:val="-2"/>
          <w:sz w:val="28"/>
          <w:szCs w:val="28"/>
        </w:rPr>
        <w:t>được bầu cử, tuyển dụng lại vào các cơ quan, tổ chức, đơn vị hưởng lương từ ngân sách nhà nước hoặc không được bố trí làm tại khu phố, ấp, thôn, khu dân cư</w:t>
      </w:r>
      <w:r>
        <w:rPr>
          <w:rFonts w:cs="Times New Roman" w:ascii="Times New Roman" w:hAnsi="Times New Roman"/>
          <w:iCs/>
          <w:color w:themeColor="text1" w:val="000000"/>
          <w:sz w:val="28"/>
          <w:szCs w:val="28"/>
          <w:shd w:fill="FFFFFF" w:val="clear"/>
        </w:rPr>
        <w:t xml:space="preserve">. </w:t>
      </w:r>
    </w:p>
    <w:p>
      <w:pPr>
        <w:pStyle w:val="Normal"/>
        <w:spacing w:lineRule="exact" w:line="360" w:before="120" w:after="120"/>
        <w:ind w:firstLine="709"/>
        <w:jc w:val="both"/>
        <w:rPr>
          <w:rFonts w:ascii="Times New Roman" w:hAnsi="Times New Roman" w:cs="Times New Roman"/>
          <w:color w:themeColor="text1" w:val="000000"/>
          <w:sz w:val="28"/>
          <w:szCs w:val="28"/>
          <w:shd w:fill="FFFFFF" w:val="clear"/>
        </w:rPr>
      </w:pPr>
      <w:r>
        <w:rPr>
          <w:rStyle w:val="Strong"/>
          <w:rFonts w:cs="Times New Roman" w:ascii="Times New Roman" w:hAnsi="Times New Roman"/>
          <w:b w:val="false"/>
          <w:bCs w:val="false"/>
          <w:color w:themeColor="text1" w:val="000000"/>
          <w:spacing w:val="2"/>
          <w:sz w:val="28"/>
          <w:szCs w:val="28"/>
        </w:rPr>
        <w:t>3.</w:t>
      </w:r>
      <w:r>
        <w:rPr>
          <w:rStyle w:val="Strong"/>
          <w:rFonts w:cs="Times New Roman" w:ascii="Times New Roman" w:hAnsi="Times New Roman"/>
          <w:color w:themeColor="text1" w:val="000000"/>
          <w:spacing w:val="2"/>
          <w:sz w:val="28"/>
          <w:szCs w:val="28"/>
        </w:rPr>
        <w:t xml:space="preserve"> </w:t>
      </w:r>
      <w:r>
        <w:rPr>
          <w:rFonts w:cs="Times New Roman" w:ascii="Times New Roman" w:hAnsi="Times New Roman"/>
          <w:iCs/>
          <w:color w:themeColor="text1" w:val="000000"/>
          <w:sz w:val="28"/>
          <w:szCs w:val="28"/>
          <w:shd w:fill="FFFFFF" w:val="clear"/>
        </w:rPr>
        <w:t xml:space="preserve">Thời gian để tính chế độ hỗ trợ là </w:t>
      </w:r>
      <w:r>
        <w:rPr>
          <w:rFonts w:cs="Times New Roman" w:ascii="Times New Roman" w:hAnsi="Times New Roman"/>
          <w:iCs/>
          <w:color w:themeColor="text1" w:val="000000"/>
          <w:spacing w:val="3"/>
          <w:sz w:val="28"/>
          <w:szCs w:val="28"/>
          <w:shd w:fill="FFFFFF" w:val="clear"/>
        </w:rPr>
        <w:t xml:space="preserve">tổng thời gian tham gia công tác giữ chức danh người hoạt động không chuyên trách </w:t>
      </w:r>
      <w:r>
        <w:rPr>
          <w:rFonts w:cs="Times New Roman" w:ascii="Times New Roman" w:hAnsi="Times New Roman"/>
          <w:iCs/>
          <w:color w:themeColor="text1" w:val="000000"/>
          <w:sz w:val="28"/>
          <w:szCs w:val="28"/>
          <w:shd w:fill="FFFFFF" w:val="clear"/>
        </w:rPr>
        <w:t>ở cấp xã</w:t>
      </w:r>
      <w:r>
        <w:rPr>
          <w:rFonts w:cs="Times New Roman" w:ascii="Times New Roman" w:hAnsi="Times New Roman"/>
          <w:color w:themeColor="text1" w:val="000000"/>
          <w:sz w:val="28"/>
          <w:szCs w:val="28"/>
          <w:shd w:fill="FFFFFF" w:val="clear"/>
        </w:rPr>
        <w:t>.</w:t>
      </w:r>
    </w:p>
    <w:p>
      <w:pPr>
        <w:pStyle w:val="Normal"/>
        <w:spacing w:lineRule="exact" w:line="360" w:before="120" w:after="120"/>
        <w:ind w:firstLine="709"/>
        <w:jc w:val="both"/>
        <w:rPr>
          <w:rStyle w:val="Strong"/>
          <w:rFonts w:ascii="Times New Roman" w:hAnsi="Times New Roman" w:cs="Times New Roman"/>
          <w:color w:themeColor="text1" w:val="000000"/>
          <w:spacing w:val="2"/>
          <w:sz w:val="28"/>
          <w:szCs w:val="28"/>
        </w:rPr>
      </w:pPr>
      <w:r>
        <w:rPr>
          <w:rFonts w:cs="Times New Roman" w:ascii="Times New Roman" w:hAnsi="Times New Roman"/>
          <w:color w:themeColor="text1" w:val="000000"/>
          <w:sz w:val="28"/>
          <w:szCs w:val="28"/>
          <w:shd w:fill="FFFFFF" w:val="clear"/>
        </w:rPr>
        <w:t xml:space="preserve">4. Trường hợp người hoạt động không chuyên trách đã hưởng chính sách tại khoản 1 nếu sau đó </w:t>
      </w:r>
      <w:r>
        <w:rPr>
          <w:rFonts w:eastAsia="Calibri" w:cs="Times New Roman" w:ascii="Times New Roman" w:hAnsi="Times New Roman"/>
          <w:bCs/>
          <w:iCs/>
          <w:color w:themeColor="text1" w:val="000000"/>
          <w:spacing w:val="-2"/>
          <w:sz w:val="28"/>
          <w:szCs w:val="28"/>
        </w:rPr>
        <w:t>được bầu cử, tuyển dụng lại vào các cơ quan, tổ chức, đơn vị hưởng lương từ ngân sách nhà nước hoặc được bố trí làm việc tại khu phố, ấp, thôn, khu dân cư</w:t>
      </w:r>
      <w:r>
        <w:rPr>
          <w:rFonts w:cs="Times New Roman" w:ascii="Times New Roman" w:hAnsi="Times New Roman"/>
          <w:iCs/>
          <w:color w:themeColor="text1" w:val="000000"/>
          <w:sz w:val="28"/>
          <w:szCs w:val="28"/>
          <w:shd w:fill="FFFFFF" w:val="clear"/>
        </w:rPr>
        <w:t xml:space="preserve"> thì phải hoàn trả phần chênh lệch hỗ trợ quy định tại khoản 1 và khoản 2 điều này về cho Ủy ban nhân dân cấp xã nơi công tác trước ngày 31 tháng 5 năm 2026.</w:t>
      </w:r>
    </w:p>
    <w:p>
      <w:pPr>
        <w:pStyle w:val="NormalWeb"/>
        <w:shd w:val="clear" w:color="auto" w:fill="FFFFFF"/>
        <w:spacing w:lineRule="exact" w:line="360" w:beforeAutospacing="0" w:before="120" w:afterAutospacing="0" w:after="120"/>
        <w:ind w:firstLine="709"/>
        <w:jc w:val="both"/>
        <w:rPr>
          <w:rFonts w:eastAsia="Calibri"/>
          <w:b/>
          <w:bCs/>
          <w:iCs/>
          <w:color w:themeColor="text1" w:val="000000"/>
          <w:sz w:val="28"/>
          <w:szCs w:val="28"/>
        </w:rPr>
      </w:pPr>
      <w:bookmarkStart w:id="6" w:name="dieu_6"/>
      <w:bookmarkEnd w:id="5"/>
      <w:r>
        <w:rPr>
          <w:rFonts w:eastAsia="Calibri"/>
          <w:b/>
          <w:bCs/>
          <w:iCs/>
          <w:color w:themeColor="text1" w:val="000000"/>
          <w:sz w:val="28"/>
          <w:szCs w:val="28"/>
        </w:rPr>
        <w:t>Điều 4. Định mức quà tri ân bằng tiền đối với người tham gia hoạt động ở khu phố, ấp, thôn, khu dân cư, tổ dân cư, tổ nhân dân tự quản khi kết thúc hoạt động kể từ khi có Nghị quyết sắp xếp của cấp có thẩm quyền</w:t>
      </w:r>
    </w:p>
    <w:p>
      <w:pPr>
        <w:pStyle w:val="Normal"/>
        <w:spacing w:lineRule="exact" w:line="360" w:before="120" w:after="120"/>
        <w:ind w:firstLine="709"/>
        <w:jc w:val="both"/>
        <w:rPr>
          <w:rFonts w:ascii="Times New Roman" w:hAnsi="Times New Roman" w:cs="Times New Roman"/>
          <w:iCs/>
          <w:color w:themeColor="text1" w:val="000000"/>
          <w:sz w:val="28"/>
          <w:szCs w:val="28"/>
          <w:shd w:fill="FFFFFF" w:val="clear"/>
        </w:rPr>
      </w:pPr>
      <w:r>
        <w:rPr>
          <w:rFonts w:cs="Times New Roman" w:ascii="Times New Roman" w:hAnsi="Times New Roman"/>
          <w:iCs/>
          <w:color w:themeColor="text1" w:val="000000"/>
          <w:sz w:val="28"/>
          <w:szCs w:val="28"/>
          <w:shd w:fill="FFFFFF" w:val="clear"/>
        </w:rPr>
        <w:t xml:space="preserve">1. Định mức quà tặng đối với </w:t>
      </w:r>
      <w:r>
        <w:rPr>
          <w:rFonts w:eastAsia="Calibri" w:cs="Times New Roman" w:ascii="Times New Roman" w:hAnsi="Times New Roman"/>
          <w:bCs/>
          <w:iCs/>
          <w:color w:themeColor="text1" w:val="000000"/>
          <w:sz w:val="28"/>
          <w:szCs w:val="28"/>
        </w:rPr>
        <w:t xml:space="preserve">người hoạt động không chuyên trách ở khu phố, ấp, thôn, khu dân cư </w:t>
      </w:r>
      <w:r>
        <w:rPr>
          <w:rFonts w:cs="Times New Roman" w:ascii="Times New Roman" w:hAnsi="Times New Roman"/>
          <w:iCs/>
          <w:color w:themeColor="text1" w:val="000000"/>
          <w:sz w:val="28"/>
          <w:szCs w:val="28"/>
          <w:shd w:fill="FFFFFF" w:val="clear"/>
        </w:rPr>
        <w:t>khi kết thúc hoạt động kể từ khi có Nghị quyết sắp xếp của cấp có thẩm quyền: 3</w:t>
      </w:r>
      <w:r>
        <w:rPr>
          <w:rFonts w:cs="Times New Roman" w:ascii="Times New Roman" w:hAnsi="Times New Roman"/>
          <w:iCs/>
          <w:color w:themeColor="text1" w:val="000000"/>
          <w:sz w:val="28"/>
          <w:szCs w:val="28"/>
          <w:shd w:fill="FFFFFF" w:val="clear"/>
          <w:lang w:val="vi-VN"/>
        </w:rPr>
        <w:t>.</w:t>
      </w:r>
      <w:r>
        <w:rPr>
          <w:rFonts w:cs="Times New Roman" w:ascii="Times New Roman" w:hAnsi="Times New Roman"/>
          <w:iCs/>
          <w:color w:themeColor="text1" w:val="000000"/>
          <w:sz w:val="28"/>
          <w:szCs w:val="28"/>
          <w:shd w:fill="FFFFFF" w:val="clear"/>
        </w:rPr>
        <w:t>0</w:t>
      </w:r>
      <w:r>
        <w:rPr>
          <w:rFonts w:cs="Times New Roman" w:ascii="Times New Roman" w:hAnsi="Times New Roman"/>
          <w:iCs/>
          <w:color w:themeColor="text1" w:val="000000"/>
          <w:sz w:val="28"/>
          <w:szCs w:val="28"/>
          <w:shd w:fill="FFFFFF" w:val="clear"/>
          <w:lang w:val="vi-VN"/>
        </w:rPr>
        <w:t>00.000 đồng/người</w:t>
      </w:r>
      <w:r>
        <w:rPr>
          <w:rFonts w:cs="Times New Roman" w:ascii="Times New Roman" w:hAnsi="Times New Roman"/>
          <w:iCs/>
          <w:color w:themeColor="text1" w:val="000000"/>
          <w:sz w:val="28"/>
          <w:szCs w:val="28"/>
          <w:shd w:fill="FFFFFF" w:val="clear"/>
        </w:rPr>
        <w:t>, bằng tiền.</w:t>
      </w:r>
    </w:p>
    <w:p>
      <w:pPr>
        <w:pStyle w:val="Normal"/>
        <w:spacing w:lineRule="exact" w:line="360" w:before="120" w:after="120"/>
        <w:ind w:firstLine="709"/>
        <w:jc w:val="both"/>
        <w:rPr>
          <w:rFonts w:ascii="Times New Roman" w:hAnsi="Times New Roman" w:eastAsia="Calibri" w:cs="Times New Roman"/>
          <w:bCs/>
          <w:iCs/>
          <w:color w:themeColor="text1" w:val="000000"/>
          <w:sz w:val="28"/>
          <w:szCs w:val="28"/>
        </w:rPr>
      </w:pPr>
      <w:r>
        <w:rPr>
          <w:rFonts w:eastAsia="Calibri" w:cs="Times New Roman" w:ascii="Times New Roman" w:hAnsi="Times New Roman"/>
          <w:bCs/>
          <w:iCs/>
          <w:color w:themeColor="text1" w:val="000000"/>
          <w:sz w:val="28"/>
          <w:szCs w:val="28"/>
        </w:rPr>
        <w:t xml:space="preserve">2. </w:t>
      </w:r>
      <w:r>
        <w:rPr>
          <w:rFonts w:cs="Times New Roman" w:ascii="Times New Roman" w:hAnsi="Times New Roman"/>
          <w:iCs/>
          <w:color w:themeColor="text1" w:val="000000"/>
          <w:sz w:val="28"/>
          <w:szCs w:val="28"/>
          <w:shd w:fill="FFFFFF" w:val="clear"/>
        </w:rPr>
        <w:t xml:space="preserve">Định mức quà tặng đối với </w:t>
      </w:r>
      <w:r>
        <w:rPr>
          <w:rFonts w:eastAsia="Calibri" w:cs="Times New Roman" w:ascii="Times New Roman" w:hAnsi="Times New Roman"/>
          <w:bCs/>
          <w:iCs/>
          <w:color w:themeColor="text1" w:val="000000"/>
          <w:sz w:val="28"/>
          <w:szCs w:val="28"/>
        </w:rPr>
        <w:t xml:space="preserve">người trực tiếp tham gia hoạt động ở khu phố, ấp, thôn, khu dân cư khi kết thúc hoạt động kể từ khi có Nghị quyết sắp xếp của cấp có thẩm quyền: </w:t>
      </w:r>
      <w:r>
        <w:rPr>
          <w:rFonts w:cs="Times New Roman" w:ascii="Times New Roman" w:hAnsi="Times New Roman"/>
          <w:iCs/>
          <w:color w:themeColor="text1" w:val="000000"/>
          <w:sz w:val="28"/>
          <w:szCs w:val="28"/>
          <w:shd w:fill="FFFFFF" w:val="clear"/>
        </w:rPr>
        <w:t>2</w:t>
      </w:r>
      <w:r>
        <w:rPr>
          <w:rFonts w:cs="Times New Roman" w:ascii="Times New Roman" w:hAnsi="Times New Roman"/>
          <w:iCs/>
          <w:color w:themeColor="text1" w:val="000000"/>
          <w:sz w:val="28"/>
          <w:szCs w:val="28"/>
          <w:shd w:fill="FFFFFF" w:val="clear"/>
          <w:lang w:val="vi-VN"/>
        </w:rPr>
        <w:t>.</w:t>
      </w:r>
      <w:r>
        <w:rPr>
          <w:rFonts w:cs="Times New Roman" w:ascii="Times New Roman" w:hAnsi="Times New Roman"/>
          <w:iCs/>
          <w:color w:themeColor="text1" w:val="000000"/>
          <w:sz w:val="28"/>
          <w:szCs w:val="28"/>
          <w:shd w:fill="FFFFFF" w:val="clear"/>
        </w:rPr>
        <w:t>0</w:t>
      </w:r>
      <w:r>
        <w:rPr>
          <w:rFonts w:cs="Times New Roman" w:ascii="Times New Roman" w:hAnsi="Times New Roman"/>
          <w:iCs/>
          <w:color w:themeColor="text1" w:val="000000"/>
          <w:sz w:val="28"/>
          <w:szCs w:val="28"/>
          <w:shd w:fill="FFFFFF" w:val="clear"/>
          <w:lang w:val="vi-VN"/>
        </w:rPr>
        <w:t>00.000 đồng/người</w:t>
      </w:r>
      <w:r>
        <w:rPr>
          <w:rFonts w:cs="Times New Roman" w:ascii="Times New Roman" w:hAnsi="Times New Roman"/>
          <w:iCs/>
          <w:color w:themeColor="text1" w:val="000000"/>
          <w:sz w:val="28"/>
          <w:szCs w:val="28"/>
          <w:shd w:fill="FFFFFF" w:val="clear"/>
        </w:rPr>
        <w:t>, bằng tiền.</w:t>
      </w:r>
    </w:p>
    <w:p>
      <w:pPr>
        <w:pStyle w:val="Normal"/>
        <w:spacing w:lineRule="exact" w:line="360" w:before="120" w:after="120"/>
        <w:ind w:firstLine="709"/>
        <w:jc w:val="both"/>
        <w:rPr>
          <w:rFonts w:ascii="Times New Roman" w:hAnsi="Times New Roman" w:eastAsia="Calibri" w:cs="Times New Roman"/>
          <w:bCs/>
          <w:iCs/>
          <w:color w:themeColor="text1" w:val="000000"/>
          <w:sz w:val="28"/>
          <w:szCs w:val="28"/>
        </w:rPr>
      </w:pPr>
      <w:r>
        <w:rPr>
          <w:rStyle w:val="Strong"/>
          <w:rFonts w:cs="Times New Roman" w:ascii="Times New Roman" w:hAnsi="Times New Roman"/>
          <w:b w:val="false"/>
          <w:color w:themeColor="text1" w:val="000000"/>
          <w:sz w:val="28"/>
          <w:szCs w:val="28"/>
        </w:rPr>
        <w:t xml:space="preserve">3. </w:t>
      </w:r>
      <w:r>
        <w:rPr>
          <w:rFonts w:cs="Times New Roman" w:ascii="Times New Roman" w:hAnsi="Times New Roman"/>
          <w:iCs/>
          <w:color w:themeColor="text1" w:val="000000"/>
          <w:sz w:val="28"/>
          <w:szCs w:val="28"/>
          <w:shd w:fill="FFFFFF" w:val="clear"/>
        </w:rPr>
        <w:t>Định mức quà tặng đ</w:t>
      </w:r>
      <w:r>
        <w:rPr>
          <w:rStyle w:val="Strong"/>
          <w:rFonts w:cs="Times New Roman" w:ascii="Times New Roman" w:hAnsi="Times New Roman"/>
          <w:b w:val="false"/>
          <w:color w:themeColor="text1" w:val="000000"/>
          <w:sz w:val="28"/>
          <w:szCs w:val="28"/>
        </w:rPr>
        <w:t xml:space="preserve">ối với </w:t>
      </w:r>
      <w:r>
        <w:rPr>
          <w:rFonts w:eastAsia="Calibri" w:cs="Times New Roman" w:ascii="Times New Roman" w:hAnsi="Times New Roman"/>
          <w:bCs/>
          <w:iCs/>
          <w:color w:themeColor="text1" w:val="000000"/>
          <w:sz w:val="28"/>
          <w:szCs w:val="28"/>
        </w:rPr>
        <w:t xml:space="preserve">người giữ các chức danh Tổ trưởng, Tổ phó Tổ dân cư, Tổ nhân dân tự quản kể từ khi Nghị quyết chấm dứt mô hình hoạt động: </w:t>
      </w:r>
      <w:r>
        <w:rPr>
          <w:rFonts w:cs="Times New Roman" w:ascii="Times New Roman" w:hAnsi="Times New Roman"/>
          <w:iCs/>
          <w:color w:themeColor="text1" w:val="000000"/>
          <w:sz w:val="28"/>
          <w:szCs w:val="28"/>
          <w:shd w:fill="FFFFFF" w:val="clear"/>
          <w:lang w:val="vi-VN"/>
        </w:rPr>
        <w:t>1.</w:t>
      </w:r>
      <w:r>
        <w:rPr>
          <w:rFonts w:cs="Times New Roman" w:ascii="Times New Roman" w:hAnsi="Times New Roman"/>
          <w:iCs/>
          <w:color w:themeColor="text1" w:val="000000"/>
          <w:sz w:val="28"/>
          <w:szCs w:val="28"/>
          <w:shd w:fill="FFFFFF" w:val="clear"/>
        </w:rPr>
        <w:t>0</w:t>
      </w:r>
      <w:r>
        <w:rPr>
          <w:rFonts w:cs="Times New Roman" w:ascii="Times New Roman" w:hAnsi="Times New Roman"/>
          <w:iCs/>
          <w:color w:themeColor="text1" w:val="000000"/>
          <w:sz w:val="28"/>
          <w:szCs w:val="28"/>
          <w:shd w:fill="FFFFFF" w:val="clear"/>
          <w:lang w:val="vi-VN"/>
        </w:rPr>
        <w:t>00.000 đồng/người</w:t>
      </w:r>
      <w:r>
        <w:rPr>
          <w:rFonts w:cs="Times New Roman" w:ascii="Times New Roman" w:hAnsi="Times New Roman"/>
          <w:iCs/>
          <w:color w:themeColor="text1" w:val="000000"/>
          <w:sz w:val="28"/>
          <w:szCs w:val="28"/>
          <w:shd w:fill="FFFFFF" w:val="clear"/>
        </w:rPr>
        <w:t>, bằng tiền.</w:t>
      </w:r>
    </w:p>
    <w:p>
      <w:pPr>
        <w:pStyle w:val="Normal"/>
        <w:spacing w:lineRule="exact" w:line="360" w:before="120" w:after="120"/>
        <w:ind w:firstLine="709"/>
        <w:jc w:val="both"/>
        <w:rPr>
          <w:rStyle w:val="Strong"/>
          <w:rFonts w:ascii="Times New Roman" w:hAnsi="Times New Roman" w:cs="Times New Roman"/>
          <w:b w:val="false"/>
          <w:color w:themeColor="text1" w:val="000000"/>
          <w:spacing w:val="2"/>
          <w:sz w:val="28"/>
          <w:szCs w:val="28"/>
          <w:lang w:val="vi-VN"/>
        </w:rPr>
      </w:pPr>
      <w:r>
        <w:rPr>
          <w:rStyle w:val="Strong"/>
          <w:rFonts w:cs="Times New Roman" w:ascii="Times New Roman" w:hAnsi="Times New Roman"/>
          <w:b w:val="false"/>
          <w:color w:themeColor="text1" w:val="000000"/>
          <w:spacing w:val="2"/>
          <w:sz w:val="28"/>
          <w:szCs w:val="28"/>
        </w:rPr>
        <w:t>4</w:t>
      </w:r>
      <w:r>
        <w:rPr>
          <w:rStyle w:val="Strong"/>
          <w:rFonts w:cs="Times New Roman" w:ascii="Times New Roman" w:hAnsi="Times New Roman"/>
          <w:b w:val="false"/>
          <w:color w:themeColor="text1" w:val="000000"/>
          <w:spacing w:val="2"/>
          <w:sz w:val="28"/>
          <w:szCs w:val="28"/>
          <w:lang w:val="vi-VN"/>
        </w:rPr>
        <w:t xml:space="preserve">. Trường hợp một người kiêm nhiệm nhiều nhiệm vụ khác nhau </w:t>
      </w:r>
      <w:r>
        <w:rPr>
          <w:rFonts w:eastAsia="Calibri" w:cs="Times New Roman" w:ascii="Times New Roman" w:hAnsi="Times New Roman"/>
          <w:iCs/>
          <w:color w:themeColor="text1" w:val="000000"/>
          <w:spacing w:val="-2"/>
          <w:sz w:val="28"/>
          <w:szCs w:val="28"/>
          <w:lang w:val="vi-VN"/>
        </w:rPr>
        <w:t>khi thực hiện sắp xếp</w:t>
      </w:r>
      <w:r>
        <w:rPr>
          <w:rFonts w:eastAsia="Calibri" w:cs="Times New Roman" w:ascii="Times New Roman" w:hAnsi="Times New Roman"/>
          <w:b/>
          <w:iCs/>
          <w:color w:themeColor="text1" w:val="000000"/>
          <w:spacing w:val="-2"/>
          <w:sz w:val="28"/>
          <w:szCs w:val="28"/>
          <w:lang w:val="vi-VN"/>
        </w:rPr>
        <w:t xml:space="preserve"> </w:t>
      </w:r>
      <w:r>
        <w:rPr>
          <w:rStyle w:val="Strong"/>
          <w:rFonts w:cs="Times New Roman" w:ascii="Times New Roman" w:hAnsi="Times New Roman"/>
          <w:b w:val="false"/>
          <w:color w:themeColor="text1" w:val="000000"/>
          <w:spacing w:val="2"/>
          <w:sz w:val="28"/>
          <w:szCs w:val="28"/>
          <w:lang w:val="vi-VN"/>
        </w:rPr>
        <w:t xml:space="preserve">thì chỉ được hưởng chính sách cao nhất theo quy định tại </w:t>
      </w:r>
      <w:r>
        <w:rPr>
          <w:rStyle w:val="Strong"/>
          <w:rFonts w:cs="Times New Roman" w:ascii="Times New Roman" w:hAnsi="Times New Roman"/>
          <w:b w:val="false"/>
          <w:color w:themeColor="text1" w:val="000000"/>
          <w:spacing w:val="2"/>
          <w:sz w:val="28"/>
          <w:szCs w:val="28"/>
        </w:rPr>
        <w:t xml:space="preserve">Điều 3 và </w:t>
      </w:r>
      <w:r>
        <w:rPr>
          <w:rStyle w:val="Strong"/>
          <w:rFonts w:cs="Times New Roman" w:ascii="Times New Roman" w:hAnsi="Times New Roman"/>
          <w:b w:val="false"/>
          <w:color w:themeColor="text1" w:val="000000"/>
          <w:spacing w:val="2"/>
          <w:sz w:val="28"/>
          <w:szCs w:val="28"/>
          <w:lang w:val="vi-VN"/>
        </w:rPr>
        <w:t>khoản 1, khoản 2</w:t>
      </w:r>
      <w:r>
        <w:rPr>
          <w:rStyle w:val="Strong"/>
          <w:rFonts w:cs="Times New Roman" w:ascii="Times New Roman" w:hAnsi="Times New Roman"/>
          <w:b w:val="false"/>
          <w:color w:themeColor="text1" w:val="000000"/>
          <w:spacing w:val="2"/>
          <w:sz w:val="28"/>
          <w:szCs w:val="28"/>
        </w:rPr>
        <w:t>, khoản 3</w:t>
      </w:r>
      <w:r>
        <w:rPr>
          <w:rStyle w:val="Strong"/>
          <w:rFonts w:cs="Times New Roman" w:ascii="Times New Roman" w:hAnsi="Times New Roman"/>
          <w:b w:val="false"/>
          <w:color w:themeColor="text1" w:val="000000"/>
          <w:spacing w:val="2"/>
          <w:sz w:val="28"/>
          <w:szCs w:val="28"/>
          <w:lang w:val="vi-VN"/>
        </w:rPr>
        <w:t xml:space="preserve"> Điều này.</w:t>
      </w:r>
    </w:p>
    <w:p>
      <w:pPr>
        <w:pStyle w:val="NormalWeb"/>
        <w:shd w:val="clear" w:color="auto" w:fill="FFFFFF"/>
        <w:spacing w:lineRule="exact" w:line="360" w:beforeAutospacing="0" w:before="120" w:afterAutospacing="0" w:after="120"/>
        <w:ind w:firstLine="709"/>
        <w:jc w:val="both"/>
        <w:rPr>
          <w:rFonts w:eastAsia="Calibri"/>
          <w:b/>
          <w:bCs/>
          <w:iCs/>
          <w:sz w:val="28"/>
          <w:szCs w:val="28"/>
          <w:lang w:val="vi-VN"/>
        </w:rPr>
      </w:pPr>
      <w:r>
        <w:rPr>
          <w:rFonts w:eastAsia="Calibri"/>
          <w:b/>
          <w:bCs/>
          <w:iCs/>
          <w:sz w:val="28"/>
          <w:szCs w:val="28"/>
          <w:lang w:val="vi-VN"/>
        </w:rPr>
        <w:t xml:space="preserve">Điều </w:t>
      </w:r>
      <w:r>
        <w:rPr>
          <w:rFonts w:eastAsia="Calibri"/>
          <w:b/>
          <w:bCs/>
          <w:iCs/>
          <w:sz w:val="28"/>
          <w:szCs w:val="28"/>
        </w:rPr>
        <w:t>5</w:t>
      </w:r>
      <w:r>
        <w:rPr>
          <w:rFonts w:eastAsia="Calibri"/>
          <w:b/>
          <w:bCs/>
          <w:iCs/>
          <w:sz w:val="28"/>
          <w:szCs w:val="28"/>
          <w:lang w:val="vi-VN"/>
        </w:rPr>
        <w:t>. Nguồn kinh phí thực hiện</w:t>
      </w:r>
      <w:bookmarkEnd w:id="6"/>
    </w:p>
    <w:p>
      <w:pPr>
        <w:pStyle w:val="NormalWeb"/>
        <w:shd w:val="clear" w:color="auto" w:fill="FFFFFF"/>
        <w:spacing w:lineRule="exact" w:line="360" w:beforeAutospacing="0" w:before="120" w:afterAutospacing="0" w:after="120"/>
        <w:ind w:firstLine="709"/>
        <w:jc w:val="both"/>
        <w:textAlignment w:val="baseline"/>
        <w:rPr>
          <w:rFonts w:eastAsia="Calibri" w:eastAsiaTheme="minorHAnsi"/>
          <w:iCs/>
          <w:spacing w:val="3"/>
          <w:sz w:val="28"/>
          <w:szCs w:val="28"/>
          <w:shd w:fill="FFFFFF" w:val="clear"/>
          <w:lang w:val="vi-VN"/>
        </w:rPr>
      </w:pPr>
      <w:bookmarkStart w:id="7" w:name="_Hlk203842468"/>
      <w:r>
        <w:rPr>
          <w:rStyle w:val="Strong"/>
          <w:b w:val="false"/>
          <w:bCs w:val="false"/>
          <w:spacing w:val="2"/>
          <w:sz w:val="28"/>
          <w:szCs w:val="28"/>
          <w:lang w:val="vi-VN"/>
        </w:rPr>
        <w:t>Ngân sách nhà nước bố trí dự toán kinh phí để tổ chức thực hiện Nghị quyết theo phân cấp ngân sách nhà nước và các quy định hiện hành</w:t>
      </w:r>
      <w:r>
        <w:rPr>
          <w:rFonts w:eastAsia="Calibri" w:eastAsiaTheme="minorHAnsi"/>
          <w:iCs/>
          <w:spacing w:val="3"/>
          <w:sz w:val="28"/>
          <w:szCs w:val="28"/>
          <w:shd w:fill="FFFFFF" w:val="clear"/>
          <w:lang w:val="vi-VN"/>
        </w:rPr>
        <w:t xml:space="preserve">. </w:t>
      </w:r>
    </w:p>
    <w:p>
      <w:pPr>
        <w:pStyle w:val="NormalWeb"/>
        <w:shd w:val="clear" w:color="auto" w:fill="FFFFFF"/>
        <w:spacing w:lineRule="exact" w:line="360" w:beforeAutospacing="0" w:before="120" w:afterAutospacing="0" w:after="120"/>
        <w:ind w:firstLine="709"/>
        <w:jc w:val="both"/>
        <w:textAlignment w:val="baseline"/>
        <w:rPr>
          <w:rStyle w:val="Strong"/>
          <w:spacing w:val="2"/>
          <w:sz w:val="28"/>
          <w:szCs w:val="28"/>
          <w:lang w:val="vi-VN"/>
        </w:rPr>
      </w:pPr>
      <w:bookmarkStart w:id="8" w:name="dieu_7"/>
      <w:bookmarkEnd w:id="7"/>
      <w:r>
        <w:rPr>
          <w:rStyle w:val="Strong"/>
          <w:spacing w:val="2"/>
          <w:sz w:val="28"/>
          <w:szCs w:val="28"/>
          <w:lang w:val="vi-VN"/>
        </w:rPr>
        <w:t xml:space="preserve">Điều </w:t>
      </w:r>
      <w:r>
        <w:rPr>
          <w:rStyle w:val="Strong"/>
          <w:spacing w:val="2"/>
          <w:sz w:val="28"/>
          <w:szCs w:val="28"/>
        </w:rPr>
        <w:t>6</w:t>
      </w:r>
      <w:r>
        <w:rPr>
          <w:rStyle w:val="Strong"/>
          <w:spacing w:val="2"/>
          <w:sz w:val="28"/>
          <w:szCs w:val="28"/>
          <w:lang w:val="vi-VN"/>
        </w:rPr>
        <w:t>. Tổ chức thực hiện</w:t>
      </w:r>
      <w:bookmarkEnd w:id="8"/>
    </w:p>
    <w:p>
      <w:pPr>
        <w:pStyle w:val="NormalWeb"/>
        <w:shd w:val="clear" w:color="auto" w:fill="FFFFFF"/>
        <w:spacing w:lineRule="exact" w:line="340" w:beforeAutospacing="0" w:before="120" w:afterAutospacing="0" w:after="120"/>
        <w:ind w:firstLine="709"/>
        <w:jc w:val="both"/>
        <w:textAlignment w:val="baseline"/>
        <w:rPr>
          <w:rStyle w:val="Strong"/>
          <w:b w:val="false"/>
          <w:bCs w:val="false"/>
          <w:spacing w:val="2"/>
          <w:sz w:val="28"/>
          <w:szCs w:val="28"/>
          <w:lang w:val="vi-VN"/>
        </w:rPr>
      </w:pPr>
      <w:r>
        <w:rPr>
          <w:rStyle w:val="Strong"/>
          <w:b w:val="false"/>
          <w:bCs w:val="false"/>
          <w:spacing w:val="2"/>
          <w:sz w:val="28"/>
          <w:szCs w:val="28"/>
          <w:lang w:val="vi-VN"/>
        </w:rPr>
        <w:t xml:space="preserve">1. </w:t>
      </w:r>
      <w:bookmarkStart w:id="9" w:name="_Hlk203842551"/>
      <w:r>
        <w:rPr>
          <w:rStyle w:val="Strong"/>
          <w:b w:val="false"/>
          <w:bCs w:val="false"/>
          <w:spacing w:val="2"/>
          <w:sz w:val="28"/>
          <w:szCs w:val="28"/>
        </w:rPr>
        <w:t>G</w:t>
      </w:r>
      <w:r>
        <w:rPr>
          <w:rStyle w:val="Strong"/>
          <w:b w:val="false"/>
          <w:bCs w:val="false"/>
          <w:spacing w:val="2"/>
          <w:sz w:val="28"/>
          <w:szCs w:val="28"/>
          <w:lang w:val="vi-VN"/>
        </w:rPr>
        <w:t xml:space="preserve">iao Ủy ban nhân dân Thành phố triển khai, theo dõi việc thực hiện Nghị quyết, báo cáo kết quả với Hội đồng nhân dân Thành phố. </w:t>
      </w:r>
      <w:bookmarkEnd w:id="9"/>
    </w:p>
    <w:p>
      <w:pPr>
        <w:pStyle w:val="NormalWeb"/>
        <w:shd w:val="clear" w:color="auto" w:fill="FFFFFF"/>
        <w:spacing w:lineRule="exact" w:line="340" w:beforeAutospacing="0" w:before="120" w:afterAutospacing="0" w:after="120"/>
        <w:ind w:firstLine="709"/>
        <w:jc w:val="both"/>
        <w:textAlignment w:val="baseline"/>
        <w:rPr>
          <w:rStyle w:val="Strong"/>
          <w:b w:val="false"/>
          <w:bCs w:val="false"/>
          <w:spacing w:val="2"/>
          <w:sz w:val="28"/>
          <w:szCs w:val="28"/>
          <w:lang w:val="vi-VN"/>
        </w:rPr>
      </w:pPr>
      <w:r>
        <w:rPr>
          <w:rStyle w:val="Strong"/>
          <w:b w:val="false"/>
          <w:bCs w:val="false"/>
          <w:spacing w:val="2"/>
          <w:sz w:val="28"/>
          <w:szCs w:val="28"/>
          <w:lang w:val="vi-VN"/>
        </w:rPr>
        <w:t xml:space="preserve">2. Giao Thường trực Hội đồng nhân dân Thành phố, các Ban của Hội đồng nhân dân Thành phố, Tổ đại biểu và đại biểu Hội đồng nhân dân Thành phố tổ chức giám sát, kịp thời đôn đốc việc thực hiện Nghị quyết. </w:t>
      </w:r>
    </w:p>
    <w:p>
      <w:pPr>
        <w:pStyle w:val="NormalWeb"/>
        <w:widowControl w:val="false"/>
        <w:shd w:val="clear" w:color="auto" w:fill="FFFFFF"/>
        <w:spacing w:lineRule="exact" w:line="340" w:beforeAutospacing="0" w:before="120" w:afterAutospacing="0" w:after="120"/>
        <w:ind w:firstLine="709"/>
        <w:jc w:val="both"/>
        <w:textAlignment w:val="baseline"/>
        <w:rPr>
          <w:rStyle w:val="Strong"/>
          <w:color w:themeColor="text1" w:val="000000"/>
          <w:spacing w:val="2"/>
          <w:sz w:val="28"/>
          <w:szCs w:val="28"/>
          <w:lang w:val="vi-VN"/>
        </w:rPr>
      </w:pPr>
      <w:bookmarkStart w:id="10" w:name="dieu_8"/>
      <w:r>
        <w:rPr>
          <w:rStyle w:val="Strong"/>
          <w:color w:themeColor="text1" w:val="000000"/>
          <w:spacing w:val="2"/>
          <w:sz w:val="28"/>
          <w:szCs w:val="28"/>
          <w:lang w:val="vi-VN"/>
        </w:rPr>
        <w:t xml:space="preserve">Điều </w:t>
      </w:r>
      <w:r>
        <w:rPr>
          <w:rStyle w:val="Strong"/>
          <w:color w:themeColor="text1" w:val="000000"/>
          <w:spacing w:val="2"/>
          <w:sz w:val="28"/>
          <w:szCs w:val="28"/>
        </w:rPr>
        <w:t>7</w:t>
      </w:r>
      <w:r>
        <w:rPr>
          <w:rStyle w:val="Strong"/>
          <w:color w:themeColor="text1" w:val="000000"/>
          <w:spacing w:val="2"/>
          <w:sz w:val="28"/>
          <w:szCs w:val="28"/>
          <w:lang w:val="vi-VN"/>
        </w:rPr>
        <w:t>. Hiệu lực thi hành</w:t>
      </w:r>
      <w:bookmarkEnd w:id="10"/>
    </w:p>
    <w:p>
      <w:pPr>
        <w:pStyle w:val="NormalWeb"/>
        <w:widowControl w:val="false"/>
        <w:shd w:val="clear" w:color="auto" w:fill="FFFFFF"/>
        <w:spacing w:lineRule="exact" w:line="340" w:beforeAutospacing="0" w:before="120" w:afterAutospacing="0" w:after="120"/>
        <w:ind w:firstLine="709"/>
        <w:jc w:val="both"/>
        <w:textAlignment w:val="baseline"/>
        <w:rPr>
          <w:color w:themeColor="text1" w:val="000000"/>
          <w:sz w:val="28"/>
          <w:szCs w:val="28"/>
          <w:lang w:val="vi-VN"/>
        </w:rPr>
      </w:pPr>
      <w:r>
        <w:rPr>
          <w:rStyle w:val="Strong"/>
          <w:b w:val="false"/>
          <w:bCs w:val="false"/>
          <w:color w:themeColor="text1" w:val="000000"/>
          <w:spacing w:val="2"/>
          <w:sz w:val="28"/>
          <w:szCs w:val="28"/>
        </w:rPr>
        <w:t xml:space="preserve">1. </w:t>
      </w:r>
      <w:r>
        <w:rPr>
          <w:rStyle w:val="Strong"/>
          <w:b w:val="false"/>
          <w:bCs w:val="false"/>
          <w:color w:themeColor="text1" w:val="000000"/>
          <w:spacing w:val="2"/>
          <w:sz w:val="28"/>
          <w:szCs w:val="28"/>
          <w:lang w:val="vi-VN"/>
        </w:rPr>
        <w:t xml:space="preserve">Nghị quyết này </w:t>
      </w:r>
      <w:r>
        <w:rPr>
          <w:rStyle w:val="Strong"/>
          <w:b w:val="false"/>
          <w:bCs w:val="false"/>
          <w:color w:themeColor="text1" w:val="000000"/>
          <w:spacing w:val="2"/>
          <w:sz w:val="28"/>
          <w:szCs w:val="28"/>
        </w:rPr>
        <w:t xml:space="preserve">đã </w:t>
      </w:r>
      <w:r>
        <w:rPr>
          <w:rStyle w:val="Strong"/>
          <w:b w:val="false"/>
          <w:bCs w:val="false"/>
          <w:color w:themeColor="text1" w:val="000000"/>
          <w:spacing w:val="2"/>
          <w:sz w:val="28"/>
          <w:szCs w:val="28"/>
          <w:lang w:val="vi-VN"/>
        </w:rPr>
        <w:t xml:space="preserve">được Hội đồng nhân dân Thành phố Hồ Chí Minh khóa XI, </w:t>
      </w:r>
      <w:r>
        <w:rPr>
          <w:color w:themeColor="text1" w:val="000000"/>
          <w:sz w:val="28"/>
          <w:szCs w:val="28"/>
          <w:lang w:val="vi-VN"/>
        </w:rPr>
        <w:t>Kỳ họp thứ ba thông qua ngày … tháng 5 năm 2026</w:t>
      </w:r>
      <w:r>
        <w:rPr>
          <w:color w:themeColor="text1" w:val="000000"/>
          <w:sz w:val="28"/>
          <w:szCs w:val="28"/>
        </w:rPr>
        <w:t xml:space="preserve"> và </w:t>
      </w:r>
      <w:r>
        <w:rPr>
          <w:rStyle w:val="Strong"/>
          <w:b w:val="false"/>
          <w:bCs w:val="false"/>
          <w:color w:themeColor="text1" w:val="000000"/>
          <w:spacing w:val="2"/>
          <w:sz w:val="28"/>
          <w:szCs w:val="28"/>
          <w:lang w:val="vi-VN"/>
        </w:rPr>
        <w:t xml:space="preserve">có hiệu lực </w:t>
      </w:r>
      <w:r>
        <w:rPr>
          <w:rStyle w:val="Strong"/>
          <w:b w:val="false"/>
          <w:bCs w:val="false"/>
          <w:color w:themeColor="text1" w:val="000000"/>
          <w:spacing w:val="2"/>
          <w:sz w:val="28"/>
          <w:szCs w:val="28"/>
        </w:rPr>
        <w:t>từ ngày … tháng 5 năm 2026</w:t>
      </w:r>
      <w:r>
        <w:rPr>
          <w:rStyle w:val="Strong"/>
          <w:b w:val="false"/>
          <w:bCs w:val="false"/>
          <w:color w:themeColor="text1" w:val="000000"/>
          <w:spacing w:val="2"/>
          <w:sz w:val="28"/>
          <w:szCs w:val="28"/>
          <w:lang w:val="vi-VN"/>
        </w:rPr>
        <w:t xml:space="preserve">. </w:t>
      </w:r>
    </w:p>
    <w:p>
      <w:pPr>
        <w:pStyle w:val="NormalWeb"/>
        <w:widowControl w:val="false"/>
        <w:shd w:val="clear" w:color="auto" w:fill="FFFFFF"/>
        <w:spacing w:lineRule="exact" w:line="340" w:beforeAutospacing="0" w:before="120" w:afterAutospacing="0" w:after="120"/>
        <w:ind w:firstLine="709"/>
        <w:jc w:val="both"/>
        <w:textAlignment w:val="baseline"/>
        <w:rPr>
          <w:rStyle w:val="Strong"/>
          <w:b w:val="false"/>
          <w:color w:themeColor="text1" w:val="000000"/>
          <w:spacing w:val="2"/>
          <w:sz w:val="28"/>
          <w:szCs w:val="28"/>
        </w:rPr>
      </w:pPr>
      <w:r>
        <w:rPr>
          <w:rStyle w:val="Strong"/>
          <w:b w:val="false"/>
          <w:color w:themeColor="text1" w:val="000000"/>
          <w:spacing w:val="2"/>
          <w:sz w:val="28"/>
          <w:szCs w:val="28"/>
        </w:rPr>
        <w:t xml:space="preserve">2. Bãi bỏ một phần và toàn bộ các Nghị quyết sau đây: </w:t>
      </w:r>
    </w:p>
    <w:p>
      <w:pPr>
        <w:pStyle w:val="NormalWeb"/>
        <w:widowControl w:val="false"/>
        <w:shd w:val="clear" w:color="auto" w:fill="FFFFFF"/>
        <w:spacing w:lineRule="exact" w:line="340" w:beforeAutospacing="0" w:before="120" w:afterAutospacing="0" w:after="120"/>
        <w:ind w:firstLine="709"/>
        <w:jc w:val="both"/>
        <w:textAlignment w:val="baseline"/>
        <w:rPr>
          <w:rStyle w:val="Strong"/>
          <w:b w:val="false"/>
          <w:color w:themeColor="text1" w:val="000000"/>
          <w:spacing w:val="2"/>
          <w:sz w:val="28"/>
          <w:szCs w:val="28"/>
        </w:rPr>
      </w:pPr>
      <w:r>
        <w:rPr>
          <w:rStyle w:val="Strong"/>
          <w:b w:val="false"/>
          <w:color w:themeColor="text1" w:val="000000"/>
          <w:spacing w:val="2"/>
          <w:sz w:val="28"/>
          <w:szCs w:val="28"/>
        </w:rPr>
        <w:t>a) Bãi bỏ các nội dung liên quan đến chức danh, chế độ và chính sách đối với người hoạt động không chuyên trách ở cấp xã được quy định tại: Điều 1, khoản 1 Điều 2, khoản 1 Điều 3, Điều 5 Nghị quyết số 16/2023/NQ-HĐND của Hội đồng nhân dân tỉnh Bình Dương; Điều 2, Điều 3, Điều 4, khoản 1 Điều 6 Nghị quyết số 02/2024/NQ-HĐND của Hội đồng nhân dân Thành phố Hồ Chí Minh; Điều 3, Điều 4, Điều 5 Nghị quyết số 21/2023/NQ-HĐND của Hội đồng nhân dân tỉnh Bà Rịa – Vũng Tàu.</w:t>
      </w:r>
    </w:p>
    <w:p>
      <w:pPr>
        <w:pStyle w:val="NormalWeb"/>
        <w:widowControl w:val="false"/>
        <w:shd w:val="clear" w:color="auto" w:fill="FFFFFF"/>
        <w:spacing w:lineRule="exact" w:line="340" w:beforeAutospacing="0" w:before="120" w:afterAutospacing="0" w:after="120"/>
        <w:ind w:firstLine="709"/>
        <w:jc w:val="both"/>
        <w:textAlignment w:val="baseline"/>
        <w:rPr>
          <w:rStyle w:val="Strong"/>
          <w:b w:val="false"/>
          <w:color w:themeColor="text1" w:val="000000"/>
          <w:spacing w:val="2"/>
          <w:sz w:val="28"/>
          <w:szCs w:val="28"/>
        </w:rPr>
      </w:pPr>
      <w:r>
        <w:rPr>
          <w:rStyle w:val="Strong"/>
          <w:b w:val="false"/>
          <w:color w:themeColor="text1" w:val="000000"/>
          <w:spacing w:val="2"/>
          <w:sz w:val="28"/>
          <w:szCs w:val="28"/>
        </w:rPr>
        <w:t>b) Nghị quyết số 11/2018/NQ-HĐND ngày 20 tháng 7 năm 2018 của Hội đồng nhân dân tỉnh Bình Dương về chính sách hỗ trợ đối với Tổ trưởng, Tổ phó Tổ nhân dân tự quản trên địa bàn tỉnh Bình Dương.</w:t>
      </w:r>
    </w:p>
    <w:p>
      <w:pPr>
        <w:pStyle w:val="NormalWeb"/>
        <w:widowControl w:val="false"/>
        <w:shd w:val="clear" w:color="auto" w:fill="FFFFFF"/>
        <w:spacing w:lineRule="exact" w:line="340" w:beforeAutospacing="0" w:before="120" w:afterAutospacing="0" w:after="120"/>
        <w:ind w:firstLine="709"/>
        <w:jc w:val="both"/>
        <w:textAlignment w:val="baseline"/>
        <w:rPr>
          <w:bCs/>
          <w:color w:themeColor="text1" w:val="000000"/>
          <w:spacing w:val="2"/>
          <w:sz w:val="28"/>
          <w:szCs w:val="28"/>
        </w:rPr>
      </w:pPr>
      <w:r>
        <w:rPr>
          <w:bCs/>
          <w:color w:themeColor="text1" w:val="000000"/>
          <w:spacing w:val="2"/>
          <w:sz w:val="28"/>
          <w:szCs w:val="28"/>
        </w:rPr>
        <w:t>c) Nghị quyết số 55/2017/NQ-HĐND ngày 09 tháng 12 năm 2017 của Hội đồng nhân dân tỉnh Bà Rịa - Vũng Tàu quy định định mức hoạt động phí của Tổ dân cư trên địa bàn tỉnh Bà Rịa - Vũng Tàu.</w:t>
      </w:r>
    </w:p>
    <w:p>
      <w:pPr>
        <w:pStyle w:val="NormalWeb"/>
        <w:widowControl w:val="false"/>
        <w:shd w:val="clear" w:color="auto" w:fill="FFFFFF"/>
        <w:spacing w:lineRule="exact" w:line="340" w:beforeAutospacing="0" w:before="120" w:afterAutospacing="0" w:after="120"/>
        <w:ind w:firstLine="709"/>
        <w:jc w:val="both"/>
        <w:textAlignment w:val="baseline"/>
        <w:rPr>
          <w:color w:themeColor="text1" w:val="000000"/>
        </w:rPr>
      </w:pPr>
      <w:r>
        <w:rPr>
          <w:bCs/>
          <w:color w:themeColor="text1" w:val="000000"/>
          <w:spacing w:val="2"/>
          <w:sz w:val="28"/>
          <w:szCs w:val="28"/>
        </w:rPr>
        <w:t xml:space="preserve">d) Nghị quyết số 48/2018/NQ-HĐND ngày 14 tháng 12 năm 2018 của Hội đồng nhân dân tỉnh Bà Rịa - Vũng Tàu </w:t>
      </w:r>
      <w:bookmarkStart w:id="11" w:name="dieu_1_name"/>
      <w:r>
        <w:rPr>
          <w:bCs/>
          <w:color w:themeColor="text1" w:val="000000"/>
          <w:spacing w:val="2"/>
          <w:sz w:val="28"/>
          <w:szCs w:val="28"/>
        </w:rPr>
        <w:t>sửa đổi, bổ sung Điều 3 Nghị quyết số 55/2017/NQ-HĐND ngày 09 tháng 12 năm 2017 của Hội đồng nhân dân tỉnh Bà Rịa - Vũng Tàu quy định định mức hoạt động phí của tổ dân cư trên địa bàn tỉnh Bà Rịa - Vũng Tàu</w:t>
      </w:r>
      <w:bookmarkEnd w:id="11"/>
      <w:r>
        <w:rPr>
          <w:bCs/>
          <w:color w:themeColor="text1" w:val="000000"/>
          <w:spacing w:val="2"/>
          <w:sz w:val="28"/>
          <w:szCs w:val="28"/>
        </w:rPr>
        <w:t>.</w:t>
      </w:r>
    </w:p>
    <w:tbl>
      <w:tblPr>
        <w:tblW w:w="8774" w:type="dxa"/>
        <w:jc w:val="start"/>
        <w:tblInd w:w="0" w:type="dxa"/>
        <w:tblLayout w:type="fixed"/>
        <w:tblCellMar>
          <w:top w:w="0" w:type="dxa"/>
          <w:start w:w="108" w:type="dxa"/>
          <w:bottom w:w="0" w:type="dxa"/>
          <w:end w:w="108" w:type="dxa"/>
        </w:tblCellMar>
        <w:tblLook w:val="04a0" w:firstRow="1" w:noVBand="1" w:lastRow="0" w:firstColumn="1" w:lastColumn="0" w:noHBand="0"/>
      </w:tblPr>
      <w:tblGrid>
        <w:gridCol w:w="5102"/>
        <w:gridCol w:w="3672"/>
      </w:tblGrid>
      <w:tr>
        <w:trPr>
          <w:trHeight w:val="4650" w:hRule="atLeast"/>
        </w:trPr>
        <w:tc>
          <w:tcPr>
            <w:tcW w:w="5102" w:type="dxa"/>
            <w:tcBorders/>
            <w:shd w:color="auto" w:fill="FFFFFF" w:val="clear"/>
          </w:tcPr>
          <w:p>
            <w:pPr>
              <w:pStyle w:val="NormalWeb"/>
              <w:spacing w:beforeAutospacing="0" w:before="0" w:afterAutospacing="0" w:after="0"/>
              <w:rPr>
                <w:sz w:val="22"/>
                <w:szCs w:val="22"/>
                <w:lang w:val="de-DE"/>
              </w:rPr>
            </w:pPr>
            <w:r>
              <w:rPr>
                <w:rStyle w:val="Strong"/>
                <w:b w:val="false"/>
                <w:spacing w:val="2"/>
              </w:rPr>
              <w:t xml:space="preserve"> </w:t>
            </w:r>
            <w:r>
              <w:rPr>
                <w:b/>
                <w:bCs/>
                <w:i/>
                <w:iCs/>
                <w:lang w:val="vi-VN"/>
              </w:rPr>
              <w:t>Nơi nhận:</w:t>
            </w:r>
            <w:r>
              <w:rPr>
                <w:b/>
                <w:bCs/>
                <w:i/>
                <w:iCs/>
                <w:sz w:val="18"/>
                <w:szCs w:val="18"/>
                <w:lang w:val="vi-VN"/>
              </w:rPr>
              <w:br/>
            </w:r>
            <w:r>
              <w:rPr>
                <w:sz w:val="22"/>
                <w:szCs w:val="22"/>
                <w:lang w:val="de-DE"/>
              </w:rPr>
              <w:t>- Ủy ban Thường vụ Quốc hội;</w:t>
            </w:r>
          </w:p>
          <w:p>
            <w:pPr>
              <w:pStyle w:val="NormalWeb"/>
              <w:spacing w:beforeAutospacing="0" w:before="0" w:afterAutospacing="0" w:after="0"/>
              <w:rPr>
                <w:sz w:val="22"/>
                <w:szCs w:val="22"/>
                <w:lang w:val="de-DE"/>
              </w:rPr>
            </w:pPr>
            <w:r>
              <w:rPr>
                <w:sz w:val="22"/>
                <w:szCs w:val="22"/>
                <w:lang w:val="de-DE"/>
              </w:rPr>
              <w:t>- Chính phủ;</w:t>
            </w:r>
          </w:p>
          <w:p>
            <w:pPr>
              <w:pStyle w:val="NormalWeb"/>
              <w:spacing w:beforeAutospacing="0" w:before="0" w:afterAutospacing="0" w:after="0"/>
              <w:rPr>
                <w:sz w:val="22"/>
                <w:szCs w:val="22"/>
                <w:lang w:val="de-DE"/>
              </w:rPr>
            </w:pPr>
            <w:r>
              <w:rPr>
                <w:sz w:val="22"/>
                <w:szCs w:val="22"/>
                <w:lang w:val="de-DE"/>
              </w:rPr>
              <w:t>- Bộ Nội vụ;</w:t>
            </w:r>
          </w:p>
          <w:p>
            <w:pPr>
              <w:pStyle w:val="NormalWeb"/>
              <w:spacing w:beforeAutospacing="0" w:before="0" w:afterAutospacing="0" w:after="0"/>
              <w:rPr>
                <w:sz w:val="22"/>
                <w:szCs w:val="22"/>
                <w:lang w:val="de-DE"/>
              </w:rPr>
            </w:pPr>
            <w:r>
              <w:rPr>
                <w:sz w:val="22"/>
                <w:szCs w:val="22"/>
                <w:lang w:val="de-DE"/>
              </w:rPr>
              <w:t>- Bộ Tư pháp;</w:t>
              <w:br/>
              <w:t xml:space="preserve">- Cục Kiểm tra văn bản và Quản lý xử lý </w:t>
            </w:r>
          </w:p>
          <w:p>
            <w:pPr>
              <w:pStyle w:val="NormalWeb"/>
              <w:spacing w:beforeAutospacing="0" w:before="0" w:afterAutospacing="0" w:after="0"/>
              <w:rPr>
                <w:sz w:val="22"/>
                <w:szCs w:val="22"/>
                <w:lang w:val="de-DE"/>
              </w:rPr>
            </w:pPr>
            <w:r>
              <w:rPr>
                <w:sz w:val="22"/>
                <w:szCs w:val="22"/>
                <w:lang w:val="de-DE"/>
              </w:rPr>
              <w:t>Vi phạm hành chính - Bộ Tư pháp;</w:t>
              <w:br/>
              <w:t xml:space="preserve">- Thường trực Thành ủy; </w:t>
              <w:br/>
              <w:t xml:space="preserve">- Thường trực HĐND Thành phố; </w:t>
            </w:r>
          </w:p>
          <w:p>
            <w:pPr>
              <w:pStyle w:val="NormalWeb"/>
              <w:spacing w:beforeAutospacing="0" w:before="0" w:afterAutospacing="0" w:after="0"/>
              <w:rPr>
                <w:sz w:val="22"/>
                <w:szCs w:val="22"/>
                <w:lang w:val="de-DE"/>
              </w:rPr>
            </w:pPr>
            <w:r>
              <w:rPr>
                <w:sz w:val="22"/>
                <w:szCs w:val="22"/>
                <w:lang w:val="de-DE"/>
              </w:rPr>
              <w:t>- Chủ tịch, các Phó Chủ tịch UBND Thành phố;</w:t>
            </w:r>
          </w:p>
          <w:p>
            <w:pPr>
              <w:pStyle w:val="NormalWeb"/>
              <w:spacing w:beforeAutospacing="0" w:before="0" w:afterAutospacing="0" w:after="0"/>
              <w:rPr>
                <w:sz w:val="22"/>
                <w:szCs w:val="22"/>
                <w:lang w:val="de-DE"/>
              </w:rPr>
            </w:pPr>
            <w:r>
              <w:rPr>
                <w:sz w:val="22"/>
                <w:szCs w:val="22"/>
                <w:lang w:val="de-DE"/>
              </w:rPr>
              <w:t>- BTT UBMTTQ Việt Nam Thành phố;</w:t>
              <w:br/>
              <w:t>- Đoàn đại biểu Quốc hội Thành phố;</w:t>
            </w:r>
          </w:p>
          <w:p>
            <w:pPr>
              <w:pStyle w:val="NormalWeb"/>
              <w:spacing w:beforeAutospacing="0" w:before="0" w:afterAutospacing="0" w:after="0"/>
              <w:rPr>
                <w:sz w:val="22"/>
                <w:szCs w:val="22"/>
                <w:lang w:val="de-DE"/>
              </w:rPr>
            </w:pPr>
            <w:r>
              <w:rPr>
                <w:sz w:val="22"/>
                <w:szCs w:val="22"/>
                <w:lang w:val="de-DE"/>
              </w:rPr>
              <w:t>- Văn phòng Thành ủy;</w:t>
            </w:r>
          </w:p>
          <w:p>
            <w:pPr>
              <w:pStyle w:val="NormalWeb"/>
              <w:spacing w:beforeAutospacing="0" w:before="0" w:afterAutospacing="0" w:after="0"/>
              <w:rPr>
                <w:sz w:val="22"/>
                <w:szCs w:val="22"/>
                <w:lang w:val="de-DE"/>
              </w:rPr>
            </w:pPr>
            <w:r>
              <w:rPr>
                <w:sz w:val="22"/>
                <w:szCs w:val="22"/>
                <w:lang w:val="de-DE"/>
              </w:rPr>
              <w:t>- Văn phòng Đoàn ĐBQH và HĐND Thành phố;</w:t>
            </w:r>
          </w:p>
          <w:p>
            <w:pPr>
              <w:pStyle w:val="NormalWeb"/>
              <w:spacing w:beforeAutospacing="0" w:before="0" w:afterAutospacing="0" w:after="0"/>
              <w:ind w:end="1309"/>
              <w:rPr>
                <w:sz w:val="22"/>
                <w:szCs w:val="22"/>
                <w:lang w:val="de-DE"/>
              </w:rPr>
            </w:pPr>
            <w:r>
              <w:rPr>
                <w:sz w:val="22"/>
                <w:szCs w:val="22"/>
                <w:lang w:val="de-DE"/>
              </w:rPr>
              <w:t>- Văn phòng UBND Thành phố;</w:t>
              <w:br/>
              <w:t>- Các Sở, ban, ngành Thành phố;</w:t>
            </w:r>
          </w:p>
          <w:p>
            <w:pPr>
              <w:pStyle w:val="NormalWeb"/>
              <w:spacing w:beforeAutospacing="0" w:before="0" w:afterAutospacing="0" w:after="0"/>
              <w:rPr>
                <w:sz w:val="22"/>
                <w:szCs w:val="22"/>
                <w:lang w:val="de-DE"/>
              </w:rPr>
            </w:pPr>
            <w:r>
              <w:rPr>
                <w:sz w:val="22"/>
                <w:szCs w:val="22"/>
                <w:lang w:val="de-DE"/>
              </w:rPr>
              <w:t>- HĐND, UBND, UBMTTQVN phường, xã</w:t>
            </w:r>
          </w:p>
          <w:p>
            <w:pPr>
              <w:pStyle w:val="NormalWeb"/>
              <w:spacing w:beforeAutospacing="0" w:before="0" w:afterAutospacing="0" w:after="0"/>
              <w:ind w:end="1309"/>
              <w:rPr>
                <w:sz w:val="22"/>
                <w:szCs w:val="22"/>
                <w:lang w:val="de-DE"/>
              </w:rPr>
            </w:pPr>
            <w:r>
              <w:rPr>
                <w:sz w:val="22"/>
                <w:szCs w:val="22"/>
                <w:lang w:val="de-DE"/>
              </w:rPr>
              <w:t>và đặc khu Côn Đảo;</w:t>
            </w:r>
          </w:p>
          <w:p>
            <w:pPr>
              <w:pStyle w:val="NormalWeb"/>
              <w:spacing w:beforeAutospacing="0" w:before="0" w:afterAutospacing="0" w:after="0"/>
              <w:ind w:end="-112"/>
              <w:rPr>
                <w:sz w:val="22"/>
                <w:szCs w:val="22"/>
                <w:lang w:val="de-DE"/>
              </w:rPr>
            </w:pPr>
            <w:r>
              <w:rPr>
                <w:sz w:val="22"/>
                <w:szCs w:val="22"/>
                <w:lang w:val="de-DE"/>
              </w:rPr>
              <w:t>- Trung tâm Thông tin điện tử Thành phố;</w:t>
            </w:r>
          </w:p>
          <w:p>
            <w:pPr>
              <w:pStyle w:val="NormalWeb"/>
              <w:spacing w:beforeAutospacing="0" w:before="0" w:afterAutospacing="0" w:after="0"/>
              <w:ind w:end="1309"/>
              <w:rPr>
                <w:sz w:val="22"/>
                <w:szCs w:val="22"/>
                <w:lang w:val="de-DE"/>
              </w:rPr>
            </w:pPr>
            <w:r>
              <w:rPr>
                <w:sz w:val="22"/>
                <w:szCs w:val="22"/>
              </w:rPr>
              <w:t>- Lưu: VT, (BPC-…).</w:t>
            </w:r>
          </w:p>
        </w:tc>
        <w:tc>
          <w:tcPr>
            <w:tcW w:w="3672" w:type="dxa"/>
            <w:tcBorders/>
            <w:shd w:color="auto" w:fill="FFFFFF" w:val="clear"/>
          </w:tcPr>
          <w:p>
            <w:pPr>
              <w:pStyle w:val="Normal"/>
              <w:spacing w:lineRule="auto" w:line="240" w:before="0" w:after="0"/>
              <w:jc w:val="center"/>
              <w:rPr>
                <w:rFonts w:ascii="Times New Roman" w:hAnsi="Times New Roman" w:eastAsia="Times New Roman" w:cs="Times New Roman"/>
                <w:b/>
                <w:bCs/>
                <w:sz w:val="28"/>
                <w:szCs w:val="28"/>
                <w:lang w:val="de-DE"/>
              </w:rPr>
            </w:pPr>
            <w:r>
              <w:rPr>
                <w:rFonts w:eastAsia="Times New Roman" w:cs="Times New Roman" w:ascii="Times New Roman" w:hAnsi="Times New Roman"/>
                <w:b/>
                <w:bCs/>
                <w:sz w:val="28"/>
                <w:szCs w:val="28"/>
                <w:lang w:val="de-DE"/>
              </w:rPr>
              <w:t>CHỦ TỊCH</w:t>
              <w:br/>
            </w:r>
          </w:p>
          <w:p>
            <w:pPr>
              <w:pStyle w:val="Normal"/>
              <w:spacing w:lineRule="auto" w:line="240" w:before="0" w:after="0"/>
              <w:jc w:val="center"/>
              <w:rPr>
                <w:rFonts w:ascii="Times New Roman" w:hAnsi="Times New Roman" w:eastAsia="Times New Roman" w:cs="Times New Roman"/>
                <w:b/>
                <w:bCs/>
                <w:sz w:val="28"/>
                <w:szCs w:val="28"/>
                <w:lang w:val="de-DE"/>
              </w:rPr>
            </w:pPr>
            <w:r>
              <w:rPr>
                <w:rFonts w:eastAsia="Times New Roman" w:cs="Times New Roman" w:ascii="Times New Roman" w:hAnsi="Times New Roman"/>
                <w:b/>
                <w:bCs/>
                <w:sz w:val="28"/>
                <w:szCs w:val="28"/>
                <w:lang w:val="de-DE"/>
              </w:rPr>
            </w:r>
          </w:p>
          <w:p>
            <w:pPr>
              <w:pStyle w:val="Normal"/>
              <w:spacing w:lineRule="auto" w:line="240" w:before="0" w:after="0"/>
              <w:jc w:val="center"/>
              <w:rPr>
                <w:rFonts w:ascii="Times New Roman" w:hAnsi="Times New Roman" w:eastAsia="Times New Roman" w:cs="Times New Roman"/>
                <w:b/>
                <w:bCs/>
                <w:sz w:val="28"/>
                <w:szCs w:val="28"/>
                <w:lang w:val="de-DE"/>
              </w:rPr>
            </w:pPr>
            <w:r>
              <w:rPr>
                <w:rFonts w:eastAsia="Times New Roman" w:cs="Times New Roman" w:ascii="Times New Roman" w:hAnsi="Times New Roman"/>
                <w:b/>
                <w:bCs/>
                <w:sz w:val="28"/>
                <w:szCs w:val="28"/>
                <w:lang w:val="de-DE"/>
              </w:rPr>
            </w:r>
          </w:p>
          <w:p>
            <w:pPr>
              <w:pStyle w:val="Normal"/>
              <w:spacing w:lineRule="auto" w:line="240" w:before="0" w:after="0"/>
              <w:jc w:val="center"/>
              <w:rPr>
                <w:rFonts w:ascii="Times New Roman" w:hAnsi="Times New Roman" w:eastAsia="Times New Roman" w:cs="Times New Roman"/>
                <w:b/>
                <w:bCs/>
                <w:sz w:val="28"/>
                <w:szCs w:val="28"/>
                <w:lang w:val="de-DE"/>
              </w:rPr>
            </w:pPr>
            <w:r>
              <w:rPr>
                <w:rFonts w:eastAsia="Times New Roman" w:cs="Times New Roman" w:ascii="Times New Roman" w:hAnsi="Times New Roman"/>
                <w:b/>
                <w:bCs/>
                <w:sz w:val="28"/>
                <w:szCs w:val="28"/>
                <w:lang w:val="de-DE"/>
              </w:rPr>
            </w:r>
          </w:p>
          <w:p>
            <w:pPr>
              <w:pStyle w:val="Normal"/>
              <w:spacing w:lineRule="auto" w:line="240" w:before="0" w:after="0"/>
              <w:jc w:val="center"/>
              <w:rPr>
                <w:rFonts w:ascii="Times New Roman" w:hAnsi="Times New Roman" w:eastAsia="Times New Roman" w:cs="Times New Roman"/>
                <w:sz w:val="28"/>
                <w:szCs w:val="28"/>
                <w:lang w:val="de-DE"/>
              </w:rPr>
            </w:pPr>
            <w:r>
              <w:rPr>
                <w:rFonts w:eastAsia="Times New Roman" w:cs="Times New Roman" w:ascii="Times New Roman" w:hAnsi="Times New Roman"/>
                <w:b/>
                <w:bCs/>
                <w:sz w:val="28"/>
                <w:szCs w:val="28"/>
                <w:lang w:val="de-DE"/>
              </w:rPr>
              <w:t>Võ Văn Minh</w:t>
              <w:br/>
              <w:br/>
              <w:br/>
              <w:br/>
            </w:r>
          </w:p>
        </w:tc>
      </w:tr>
    </w:tbl>
    <w:p>
      <w:pPr>
        <w:pStyle w:val="Normal"/>
        <w:spacing w:before="0" w:after="200"/>
        <w:rPr>
          <w:lang w:val="de-DE"/>
        </w:rPr>
      </w:pPr>
      <w:r>
        <w:rPr>
          <w:lang w:val="de-DE"/>
        </w:rPr>
      </w:r>
    </w:p>
    <w:sectPr>
      <w:headerReference w:type="even" r:id="rId2"/>
      <w:headerReference w:type="default" r:id="rId3"/>
      <w:headerReference w:type="first" r:id="rId4"/>
      <w:type w:val="nextPage"/>
      <w:pgSz w:w="11906" w:h="16838"/>
      <w:pgMar w:left="1701" w:right="1134" w:gutter="0" w:header="720" w:top="1134" w:footer="0" w:bottom="1134"/>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Segoe UI">
    <w:charset w:val="00" w:characterSet="windows-1252"/>
    <w:family w:val="swiss"/>
    <w:pitch w:val="variable"/>
  </w:font>
  <w:font w:name="Liberation Sans">
    <w:altName w:val="Arial"/>
    <w:charset w:val="00" w:characterSet="windows-1252"/>
    <w:family w:val="swiss"/>
    <w:pitch w:val="variable"/>
  </w:font>
  <w:font w:name="Times New Roman Bold">
    <w:charset w:val="00" w:characterSet="windows-1252"/>
    <w:family w:val="roman"/>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255050517"/>
      <w:docPartObj>
        <w:docPartGallery w:val="Page Numbers (Top of Page)"/>
        <w:docPartUnique w:val="true"/>
      </w:docPartObj>
    </w:sdtPr>
    <w:sdtContent>
      <w:p>
        <w:pPr>
          <w:pStyle w:val="Header"/>
          <w:jc w:val="center"/>
          <w:rPr/>
        </w:pPr>
        <w:r>
          <w:rPr>
            <w:rFonts w:cs="Times New Roman" w:ascii="Times New Roman" w:hAnsi="Times New Roman"/>
            <w:sz w:val="26"/>
            <w:szCs w:val="26"/>
          </w:rPr>
          <w:fldChar w:fldCharType="begin"/>
        </w:r>
        <w:r>
          <w:rPr>
            <w:rFonts w:cs="Times New Roman" w:ascii="Times New Roman" w:hAnsi="Times New Roman"/>
            <w:sz w:val="26"/>
            <w:szCs w:val="26"/>
          </w:rPr>
          <w:instrText xml:space="preserve"> PAGE </w:instrText>
        </w:r>
        <w:r>
          <w:rPr>
            <w:rFonts w:cs="Times New Roman" w:ascii="Times New Roman" w:hAnsi="Times New Roman"/>
            <w:sz w:val="26"/>
            <w:szCs w:val="26"/>
          </w:rPr>
          <w:fldChar w:fldCharType="separate"/>
        </w:r>
        <w:r>
          <w:rPr>
            <w:rFonts w:cs="Times New Roman" w:ascii="Times New Roman" w:hAnsi="Times New Roman"/>
            <w:sz w:val="26"/>
            <w:szCs w:val="26"/>
          </w:rPr>
          <w:t>4</w:t>
        </w:r>
        <w:r>
          <w:rPr>
            <w:rFonts w:cs="Times New Roman" w:ascii="Times New Roman" w:hAnsi="Times New Roman"/>
            <w:sz w:val="26"/>
            <w:szCs w:val="26"/>
          </w:rPr>
          <w:fldChar w:fldCharType="end"/>
        </w:r>
      </w:p>
    </w:sdtContent>
  </w:sdt>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settings.xml><?xml version="1.0" encoding="utf-8"?>
<w:settings xmlns:w="http://schemas.openxmlformats.org/wordprocessingml/2006/main">
  <w:zoom w:percent="86"/>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6" w:before="0" w:after="200"/>
      <w:jc w:val="start"/>
    </w:pPr>
    <w:rPr>
      <w:rFonts w:ascii="Calibri" w:hAnsi="Calibri" w:eastAsia="Calibri" w:cs="" w:asciiTheme="minorHAnsi" w:cstheme="minorBid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unhideWhenUsed/>
    <w:rsid w:val="00c55b76"/>
    <w:rPr>
      <w:color w:val="0000FF"/>
      <w:u w:val="single"/>
    </w:rPr>
  </w:style>
  <w:style w:type="character" w:styleId="HeaderChar" w:customStyle="1">
    <w:name w:val="Header Char"/>
    <w:basedOn w:val="DefaultParagraphFont"/>
    <w:link w:val="Header"/>
    <w:uiPriority w:val="99"/>
    <w:qFormat/>
    <w:rsid w:val="00c55b76"/>
    <w:rPr/>
  </w:style>
  <w:style w:type="character" w:styleId="FooterChar" w:customStyle="1">
    <w:name w:val="Footer Char"/>
    <w:basedOn w:val="DefaultParagraphFont"/>
    <w:link w:val="Footer"/>
    <w:uiPriority w:val="99"/>
    <w:qFormat/>
    <w:rsid w:val="00c55b76"/>
    <w:rPr/>
  </w:style>
  <w:style w:type="character" w:styleId="Strong">
    <w:name w:val="Strong"/>
    <w:basedOn w:val="DefaultParagraphFont"/>
    <w:uiPriority w:val="22"/>
    <w:qFormat/>
    <w:rsid w:val="00145e21"/>
    <w:rPr>
      <w:b/>
      <w:bCs/>
    </w:rPr>
  </w:style>
  <w:style w:type="character" w:styleId="NormalWebChar1" w:customStyle="1">
    <w:name w:val="Normal (Web) Char1"/>
    <w:link w:val="NormalWeb"/>
    <w:uiPriority w:val="99"/>
    <w:qFormat/>
    <w:locked/>
    <w:rsid w:val="007f4a06"/>
    <w:rPr>
      <w:rFonts w:ascii="Times New Roman" w:hAnsi="Times New Roman" w:eastAsia="Times New Roman" w:cs="Times New Roman"/>
      <w:sz w:val="24"/>
      <w:szCs w:val="24"/>
    </w:rPr>
  </w:style>
  <w:style w:type="character" w:styleId="BalloonTextChar" w:customStyle="1">
    <w:name w:val="Balloon Text Char"/>
    <w:basedOn w:val="DefaultParagraphFont"/>
    <w:link w:val="BalloonText"/>
    <w:uiPriority w:val="99"/>
    <w:semiHidden/>
    <w:qFormat/>
    <w:rsid w:val="00212d22"/>
    <w:rPr>
      <w:rFonts w:ascii="Segoe UI" w:hAnsi="Segoe UI" w:cs="Segoe UI"/>
      <w:sz w:val="18"/>
      <w:szCs w:val="18"/>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NormalWeb">
    <w:name w:val="Normal (Web)"/>
    <w:basedOn w:val="Normal"/>
    <w:link w:val="NormalWebChar1"/>
    <w:uiPriority w:val="99"/>
    <w:unhideWhenUsed/>
    <w:qFormat/>
    <w:rsid w:val="00c55b76"/>
    <w:pPr>
      <w:spacing w:lineRule="auto" w:line="240" w:beforeAutospacing="1" w:afterAutospacing="1"/>
    </w:pPr>
    <w:rPr>
      <w:rFonts w:ascii="Times New Roman" w:hAnsi="Times New Roman" w:eastAsia="Times New Roman" w:cs="Times New Roman"/>
      <w:sz w:val="24"/>
      <w:szCs w:val="24"/>
    </w:rPr>
  </w:style>
  <w:style w:type="paragraph" w:styleId="HeaderandFooter">
    <w:name w:val="Header and Footer"/>
    <w:basedOn w:val="Normal"/>
    <w:qFormat/>
    <w:pPr/>
    <w:rPr/>
  </w:style>
  <w:style w:type="paragraph" w:styleId="Header">
    <w:name w:val="header"/>
    <w:basedOn w:val="Normal"/>
    <w:link w:val="HeaderChar"/>
    <w:uiPriority w:val="99"/>
    <w:unhideWhenUsed/>
    <w:rsid w:val="00c55b76"/>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c55b76"/>
    <w:pPr>
      <w:tabs>
        <w:tab w:val="clear" w:pos="720"/>
        <w:tab w:val="center" w:pos="4680" w:leader="none"/>
        <w:tab w:val="right" w:pos="9360" w:leader="none"/>
      </w:tabs>
      <w:spacing w:lineRule="auto" w:line="240" w:before="0" w:after="0"/>
    </w:pPr>
    <w:rPr/>
  </w:style>
  <w:style w:type="paragraph" w:styleId="BalloonText">
    <w:name w:val="Balloon Text"/>
    <w:basedOn w:val="Normal"/>
    <w:link w:val="BalloonTextChar"/>
    <w:uiPriority w:val="99"/>
    <w:semiHidden/>
    <w:unhideWhenUsed/>
    <w:qFormat/>
    <w:rsid w:val="00212d22"/>
    <w:pPr>
      <w:spacing w:lineRule="auto" w:line="240" w:before="0" w:after="0"/>
    </w:pPr>
    <w:rPr>
      <w:rFonts w:ascii="Segoe UI" w:hAnsi="Segoe UI" w:cs="Segoe UI"/>
      <w:sz w:val="18"/>
      <w:szCs w:val="18"/>
    </w:rPr>
  </w:style>
  <w:style w:type="paragraph" w:styleId="ListParagraph">
    <w:name w:val="List Paragraph"/>
    <w:basedOn w:val="Normal"/>
    <w:uiPriority w:val="34"/>
    <w:qFormat/>
    <w:rsid w:val="00480b99"/>
    <w:pPr>
      <w:spacing w:before="0" w:after="200"/>
      <w:ind w:start="720"/>
      <w:contextualSpacing/>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11911D-A583-4DBF-AA06-3E8FE41DC4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Application>LibreOffice/26.2.3.2$Windows_X86_64 LibreOffice_project/70e089b17412e4cb7773e41413306b17a2328c34</Application>
  <AppVersion>15.0000</AppVersion>
  <Pages>4</Pages>
  <Words>1739</Words>
  <Characters>6111</Characters>
  <CharactersWithSpaces>7835</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2026-05-20T05:06:00Z</dcterms:created>
  <dc:creator>Nguyen Van Thao</dc:creator>
  <dc:description/>
  <dc:language>en-US</dc:language>
  <cp:lastModifiedBy>pc</cp:lastModifiedBy>
  <cp:lastPrinted>2026-05-20T04:23:00Z</cp:lastPrinted>
  <dcterms:modified xsi:type="dcterms:W3CDTF">2026-05-20T05:06:00Z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