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619"/>
        <w:gridCol w:w="5401"/>
      </w:tblGrid>
      <w:tr w:rsidR="00DD54D1" w:rsidRPr="00DD54D1" w:rsidTr="00DD54D1">
        <w:trPr>
          <w:trHeight w:val="920"/>
        </w:trPr>
        <w:tc>
          <w:tcPr>
            <w:tcW w:w="2006" w:type="pct"/>
            <w:shd w:val="clear" w:color="auto" w:fill="auto"/>
            <w:tcMar>
              <w:top w:w="0" w:type="dxa"/>
              <w:left w:w="108" w:type="dxa"/>
              <w:bottom w:w="0" w:type="dxa"/>
              <w:right w:w="108" w:type="dxa"/>
            </w:tcMar>
          </w:tcPr>
          <w:p w:rsidR="00DD54D1" w:rsidRPr="00DD54D1" w:rsidRDefault="00DD54D1" w:rsidP="00DD54D1">
            <w:pPr>
              <w:jc w:val="center"/>
              <w:rPr>
                <w:rFonts w:ascii="Arial" w:hAnsi="Arial" w:cs="Arial"/>
                <w:bCs/>
                <w:sz w:val="20"/>
                <w:szCs w:val="20"/>
                <w:vertAlign w:val="superscript"/>
              </w:rPr>
            </w:pPr>
            <w:r w:rsidRPr="00DD54D1">
              <w:rPr>
                <w:rFonts w:ascii="Arial" w:hAnsi="Arial" w:cs="Arial"/>
                <w:b/>
                <w:bCs/>
                <w:sz w:val="20"/>
                <w:szCs w:val="20"/>
              </w:rPr>
              <w:t>THỦ TƯỚNG CHÍNH PHỦ</w:t>
            </w:r>
            <w:r w:rsidRPr="00DD54D1">
              <w:rPr>
                <w:rFonts w:ascii="Arial" w:hAnsi="Arial" w:cs="Arial"/>
                <w:b/>
                <w:bCs/>
                <w:sz w:val="20"/>
                <w:szCs w:val="20"/>
              </w:rPr>
              <w:br/>
            </w:r>
            <w:r w:rsidRPr="00DD54D1">
              <w:rPr>
                <w:rFonts w:ascii="Arial" w:hAnsi="Arial" w:cs="Arial"/>
                <w:bCs/>
                <w:sz w:val="20"/>
                <w:szCs w:val="20"/>
                <w:vertAlign w:val="superscript"/>
              </w:rPr>
              <w:t>__________</w:t>
            </w:r>
          </w:p>
          <w:p w:rsidR="00DD54D1" w:rsidRPr="00DD54D1" w:rsidRDefault="00DD54D1" w:rsidP="00DD54D1">
            <w:pPr>
              <w:jc w:val="center"/>
              <w:rPr>
                <w:rFonts w:ascii="Arial" w:hAnsi="Arial" w:cs="Arial"/>
                <w:sz w:val="20"/>
                <w:szCs w:val="20"/>
              </w:rPr>
            </w:pPr>
            <w:r w:rsidRPr="00DD54D1">
              <w:rPr>
                <w:rFonts w:ascii="Arial" w:hAnsi="Arial" w:cs="Arial"/>
                <w:sz w:val="20"/>
                <w:szCs w:val="20"/>
              </w:rPr>
              <w:t>Số: 219/TTg-KSTT</w:t>
            </w:r>
          </w:p>
          <w:p w:rsidR="00DD54D1" w:rsidRPr="00DD54D1" w:rsidRDefault="00DD54D1" w:rsidP="00DD54D1">
            <w:pPr>
              <w:pStyle w:val="Vnbnnidung0"/>
              <w:spacing w:after="0" w:line="240" w:lineRule="auto"/>
              <w:ind w:firstLine="0"/>
              <w:jc w:val="center"/>
              <w:rPr>
                <w:rFonts w:ascii="Arial" w:hAnsi="Arial" w:cs="Arial"/>
                <w:sz w:val="20"/>
                <w:szCs w:val="20"/>
              </w:rPr>
            </w:pPr>
            <w:r w:rsidRPr="00DD54D1">
              <w:rPr>
                <w:rFonts w:ascii="Arial" w:hAnsi="Arial" w:cs="Arial"/>
                <w:sz w:val="20"/>
                <w:szCs w:val="20"/>
              </w:rPr>
              <w:t>V/v thực hiện TTHC cho người dân,</w:t>
            </w:r>
            <w:r w:rsidRPr="00DD54D1">
              <w:rPr>
                <w:rFonts w:ascii="Arial" w:hAnsi="Arial" w:cs="Arial"/>
                <w:sz w:val="20"/>
                <w:szCs w:val="20"/>
              </w:rPr>
              <w:br/>
              <w:t>doanh nghiệp khi s</w:t>
            </w:r>
            <w:r w:rsidRPr="00DD54D1">
              <w:rPr>
                <w:rFonts w:ascii="Arial" w:hAnsi="Arial" w:cs="Arial"/>
                <w:sz w:val="20"/>
                <w:szCs w:val="20"/>
                <w:lang w:val="en-US"/>
              </w:rPr>
              <w:t>ắ</w:t>
            </w:r>
            <w:r w:rsidRPr="00DD54D1">
              <w:rPr>
                <w:rFonts w:ascii="Arial" w:hAnsi="Arial" w:cs="Arial"/>
                <w:sz w:val="20"/>
                <w:szCs w:val="20"/>
              </w:rPr>
              <w:t>p xếp, tinh gọn</w:t>
            </w:r>
            <w:r w:rsidRPr="00DD54D1">
              <w:rPr>
                <w:rFonts w:ascii="Arial" w:hAnsi="Arial" w:cs="Arial"/>
                <w:sz w:val="20"/>
                <w:szCs w:val="20"/>
              </w:rPr>
              <w:br/>
              <w:t>tổ chức bộ máy</w:t>
            </w:r>
          </w:p>
        </w:tc>
        <w:tc>
          <w:tcPr>
            <w:tcW w:w="2994" w:type="pct"/>
            <w:shd w:val="clear" w:color="auto" w:fill="auto"/>
            <w:tcMar>
              <w:top w:w="0" w:type="dxa"/>
              <w:left w:w="108" w:type="dxa"/>
              <w:bottom w:w="0" w:type="dxa"/>
              <w:right w:w="108" w:type="dxa"/>
            </w:tcMar>
          </w:tcPr>
          <w:p w:rsidR="00DD54D1" w:rsidRPr="00DD54D1" w:rsidRDefault="00DD54D1" w:rsidP="00DD54D1">
            <w:pPr>
              <w:jc w:val="center"/>
              <w:rPr>
                <w:rFonts w:ascii="Arial" w:hAnsi="Arial" w:cs="Arial"/>
                <w:sz w:val="20"/>
                <w:szCs w:val="20"/>
                <w:vertAlign w:val="superscript"/>
              </w:rPr>
            </w:pPr>
            <w:r w:rsidRPr="00DD54D1">
              <w:rPr>
                <w:rFonts w:ascii="Arial" w:hAnsi="Arial" w:cs="Arial"/>
                <w:b/>
                <w:bCs/>
                <w:sz w:val="20"/>
                <w:szCs w:val="20"/>
              </w:rPr>
              <w:t>CỘNG HÒA XÃ HỘI CHỦ NGHĨA VIỆT NAM</w:t>
            </w:r>
            <w:r w:rsidRPr="00DD54D1">
              <w:rPr>
                <w:rFonts w:ascii="Arial" w:hAnsi="Arial" w:cs="Arial"/>
                <w:b/>
                <w:bCs/>
                <w:sz w:val="20"/>
                <w:szCs w:val="20"/>
              </w:rPr>
              <w:br/>
              <w:t xml:space="preserve">Độc lập - Tự do - Hạnh phúc </w:t>
            </w:r>
            <w:r w:rsidRPr="00DD54D1">
              <w:rPr>
                <w:rFonts w:ascii="Arial" w:hAnsi="Arial" w:cs="Arial"/>
                <w:b/>
                <w:bCs/>
                <w:sz w:val="20"/>
                <w:szCs w:val="20"/>
              </w:rPr>
              <w:br/>
            </w:r>
            <w:r w:rsidRPr="00DD54D1">
              <w:rPr>
                <w:rFonts w:ascii="Arial" w:hAnsi="Arial" w:cs="Arial"/>
                <w:bCs/>
                <w:sz w:val="20"/>
                <w:szCs w:val="20"/>
                <w:vertAlign w:val="superscript"/>
              </w:rPr>
              <w:t>______________________</w:t>
            </w:r>
          </w:p>
          <w:p w:rsidR="00DD54D1" w:rsidRPr="00DD54D1" w:rsidRDefault="00DD54D1" w:rsidP="00DD54D1">
            <w:pPr>
              <w:jc w:val="center"/>
              <w:rPr>
                <w:rFonts w:ascii="Arial" w:hAnsi="Arial" w:cs="Arial"/>
                <w:i/>
                <w:sz w:val="20"/>
                <w:szCs w:val="20"/>
                <w:lang w:val="en-US"/>
              </w:rPr>
            </w:pPr>
            <w:r w:rsidRPr="00DD54D1">
              <w:rPr>
                <w:rFonts w:ascii="Arial" w:hAnsi="Arial" w:cs="Arial"/>
                <w:i/>
                <w:sz w:val="20"/>
                <w:szCs w:val="20"/>
                <w:lang w:val="en-US"/>
              </w:rPr>
              <w:t>Hà Nội, ngày 27 tháng 02 năm 2025</w:t>
            </w:r>
          </w:p>
        </w:tc>
      </w:tr>
    </w:tbl>
    <w:p w:rsidR="00DD54D1" w:rsidRPr="00DD54D1" w:rsidRDefault="00DD54D1" w:rsidP="00DD54D1">
      <w:pPr>
        <w:pStyle w:val="Vnbnnidung0"/>
        <w:spacing w:after="0" w:line="240" w:lineRule="auto"/>
        <w:ind w:firstLine="0"/>
        <w:jc w:val="center"/>
        <w:rPr>
          <w:rFonts w:ascii="Arial" w:hAnsi="Arial" w:cs="Arial"/>
          <w:sz w:val="20"/>
          <w:szCs w:val="20"/>
        </w:rPr>
      </w:pPr>
    </w:p>
    <w:p w:rsidR="00DD54D1" w:rsidRPr="00DD54D1" w:rsidRDefault="00DD54D1" w:rsidP="00DD54D1">
      <w:pPr>
        <w:pStyle w:val="Vnbnnidung0"/>
        <w:spacing w:after="0" w:line="240" w:lineRule="auto"/>
        <w:ind w:firstLine="0"/>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5"/>
        <w:gridCol w:w="6045"/>
      </w:tblGrid>
      <w:tr w:rsidR="00DD54D1" w:rsidRPr="00DD54D1" w:rsidTr="00A55C2B">
        <w:tc>
          <w:tcPr>
            <w:tcW w:w="1649" w:type="pct"/>
            <w:tcMar>
              <w:top w:w="0" w:type="dxa"/>
              <w:left w:w="108" w:type="dxa"/>
              <w:bottom w:w="0" w:type="dxa"/>
              <w:right w:w="108" w:type="dxa"/>
            </w:tcMar>
            <w:hideMark/>
          </w:tcPr>
          <w:p w:rsidR="00DD54D1" w:rsidRPr="00DD54D1" w:rsidRDefault="00DD54D1" w:rsidP="00DD54D1">
            <w:pPr>
              <w:jc w:val="right"/>
              <w:rPr>
                <w:rFonts w:ascii="Arial" w:hAnsi="Arial" w:cs="Arial"/>
                <w:sz w:val="20"/>
                <w:szCs w:val="20"/>
              </w:rPr>
            </w:pPr>
            <w:r w:rsidRPr="00DD54D1">
              <w:rPr>
                <w:rFonts w:ascii="Arial" w:hAnsi="Arial" w:cs="Arial"/>
                <w:bCs/>
                <w:sz w:val="20"/>
                <w:szCs w:val="20"/>
              </w:rPr>
              <w:t>Kính gửi:</w:t>
            </w:r>
          </w:p>
        </w:tc>
        <w:tc>
          <w:tcPr>
            <w:tcW w:w="3351" w:type="pct"/>
            <w:tcMar>
              <w:top w:w="0" w:type="dxa"/>
              <w:left w:w="108" w:type="dxa"/>
              <w:bottom w:w="0" w:type="dxa"/>
              <w:right w:w="108" w:type="dxa"/>
            </w:tcMar>
            <w:hideMark/>
          </w:tcPr>
          <w:p w:rsidR="00B422D1" w:rsidRDefault="00B422D1" w:rsidP="00DD54D1">
            <w:pPr>
              <w:pStyle w:val="Vnbnnidung0"/>
              <w:tabs>
                <w:tab w:val="left" w:pos="2001"/>
              </w:tabs>
              <w:spacing w:after="0" w:line="240" w:lineRule="auto"/>
              <w:ind w:firstLine="0"/>
              <w:rPr>
                <w:rFonts w:ascii="Arial" w:hAnsi="Arial" w:cs="Arial"/>
                <w:sz w:val="20"/>
                <w:szCs w:val="20"/>
                <w:lang w:val="en-US"/>
              </w:rPr>
            </w:pPr>
          </w:p>
          <w:p w:rsidR="00DD54D1" w:rsidRPr="00DD54D1" w:rsidRDefault="00DD54D1" w:rsidP="00DD54D1">
            <w:pPr>
              <w:pStyle w:val="Vnbnnidung0"/>
              <w:tabs>
                <w:tab w:val="left" w:pos="2001"/>
              </w:tabs>
              <w:spacing w:after="0" w:line="240" w:lineRule="auto"/>
              <w:ind w:firstLine="0"/>
              <w:rPr>
                <w:rFonts w:ascii="Arial" w:hAnsi="Arial" w:cs="Arial"/>
                <w:sz w:val="20"/>
                <w:szCs w:val="20"/>
              </w:rPr>
            </w:pPr>
            <w:r w:rsidRPr="00DD54D1">
              <w:rPr>
                <w:rFonts w:ascii="Arial" w:hAnsi="Arial" w:cs="Arial"/>
                <w:sz w:val="20"/>
                <w:szCs w:val="20"/>
                <w:lang w:val="en-US"/>
              </w:rPr>
              <w:t xml:space="preserve">- </w:t>
            </w:r>
            <w:r w:rsidRPr="00DD54D1">
              <w:rPr>
                <w:rFonts w:ascii="Arial" w:hAnsi="Arial" w:cs="Arial"/>
                <w:sz w:val="20"/>
                <w:szCs w:val="20"/>
              </w:rPr>
              <w:t>Bộ trưởng, Thủ trưởng cơ quan ngang bộ;</w:t>
            </w:r>
          </w:p>
          <w:p w:rsidR="00DD54D1" w:rsidRPr="00DD54D1" w:rsidRDefault="00DD54D1" w:rsidP="00DD54D1">
            <w:pPr>
              <w:pStyle w:val="Vnbnnidung0"/>
              <w:tabs>
                <w:tab w:val="left" w:pos="2001"/>
              </w:tabs>
              <w:spacing w:after="0" w:line="240" w:lineRule="auto"/>
              <w:ind w:firstLine="0"/>
              <w:rPr>
                <w:rFonts w:ascii="Arial" w:hAnsi="Arial" w:cs="Arial"/>
                <w:sz w:val="20"/>
                <w:szCs w:val="20"/>
              </w:rPr>
            </w:pPr>
            <w:bookmarkStart w:id="0" w:name="bookmark1"/>
            <w:bookmarkEnd w:id="0"/>
            <w:r w:rsidRPr="00DD54D1">
              <w:rPr>
                <w:rFonts w:ascii="Arial" w:hAnsi="Arial" w:cs="Arial"/>
                <w:sz w:val="20"/>
                <w:szCs w:val="20"/>
                <w:lang w:val="en-US"/>
              </w:rPr>
              <w:t xml:space="preserve">- </w:t>
            </w:r>
            <w:r w:rsidRPr="00DD54D1">
              <w:rPr>
                <w:rFonts w:ascii="Arial" w:hAnsi="Arial" w:cs="Arial"/>
                <w:sz w:val="20"/>
                <w:szCs w:val="20"/>
              </w:rPr>
              <w:t>Chủ tịch Ủy ban nhân dân các tỉnh, thành phố trực thuộc Trung ương.</w:t>
            </w:r>
          </w:p>
        </w:tc>
      </w:tr>
    </w:tbl>
    <w:p w:rsidR="00DD54D1" w:rsidRPr="00DD54D1" w:rsidRDefault="00DD54D1" w:rsidP="00DD54D1">
      <w:pPr>
        <w:pStyle w:val="Vnbnnidung0"/>
        <w:tabs>
          <w:tab w:val="left" w:pos="2001"/>
        </w:tabs>
        <w:spacing w:after="0" w:line="240" w:lineRule="auto"/>
        <w:ind w:firstLine="0"/>
        <w:jc w:val="center"/>
        <w:rPr>
          <w:rFonts w:ascii="Arial" w:hAnsi="Arial" w:cs="Arial"/>
          <w:sz w:val="20"/>
          <w:szCs w:val="20"/>
        </w:rPr>
      </w:pPr>
      <w:bookmarkStart w:id="1" w:name="bookmark0"/>
      <w:bookmarkEnd w:id="1"/>
    </w:p>
    <w:p w:rsidR="004F510E" w:rsidRPr="00DD54D1" w:rsidRDefault="00C72F6F" w:rsidP="00DD54D1">
      <w:pPr>
        <w:pStyle w:val="Vnbnnidung0"/>
        <w:spacing w:after="120" w:line="240" w:lineRule="auto"/>
        <w:ind w:firstLine="720"/>
        <w:jc w:val="both"/>
        <w:rPr>
          <w:rFonts w:ascii="Arial" w:hAnsi="Arial" w:cs="Arial"/>
          <w:sz w:val="20"/>
          <w:szCs w:val="20"/>
        </w:rPr>
      </w:pPr>
      <w:r w:rsidRPr="00DD54D1">
        <w:rPr>
          <w:rFonts w:ascii="Arial" w:hAnsi="Arial" w:cs="Arial"/>
          <w:sz w:val="20"/>
          <w:szCs w:val="20"/>
        </w:rPr>
        <w:t>Tại Kỳ họp bất thường l</w:t>
      </w:r>
      <w:r w:rsidR="00B768E0">
        <w:rPr>
          <w:rFonts w:ascii="Arial" w:hAnsi="Arial" w:cs="Arial"/>
          <w:sz w:val="20"/>
          <w:szCs w:val="20"/>
          <w:lang w:val="en-US"/>
        </w:rPr>
        <w:t>ầ</w:t>
      </w:r>
      <w:r w:rsidRPr="00DD54D1">
        <w:rPr>
          <w:rFonts w:ascii="Arial" w:hAnsi="Arial" w:cs="Arial"/>
          <w:sz w:val="20"/>
          <w:szCs w:val="20"/>
        </w:rPr>
        <w:t>n thứ 9 Quốc hội khóa XV, Quốc hội đã thông qua Luật Tổ chức Chính phủ (sửa đổi), Luật Tổ chức chính quyền địa phương (sửa đổi), Luật Ban hành văn bản quy phạm pháp luật (sửa đổi) và các Nghị quyết để thực hiện phương án sắp xếp, tinh gọn tổ chức bộ máy theo Nghị quyết số 18-NQ/TW ngày 25 tháng 10 năm 2017 của Ban Chấp hành Trung ương Đảng. Đ</w:t>
      </w:r>
      <w:r w:rsidR="00DD54D1" w:rsidRPr="00DD54D1">
        <w:rPr>
          <w:rFonts w:ascii="Arial" w:hAnsi="Arial" w:cs="Arial"/>
          <w:sz w:val="20"/>
          <w:szCs w:val="20"/>
          <w:lang w:val="en-US"/>
        </w:rPr>
        <w:t>ể</w:t>
      </w:r>
      <w:r w:rsidRPr="00DD54D1">
        <w:rPr>
          <w:rFonts w:ascii="Arial" w:hAnsi="Arial" w:cs="Arial"/>
          <w:sz w:val="20"/>
          <w:szCs w:val="20"/>
        </w:rPr>
        <w:t xml:space="preserve"> bảo đảm kế thừa các kết quả đã triển khai, không làm gián đoạn việc quản lý, theo dõi, tiếp nhận, giải quyết thủ tục hành chính (TTHC) cho người dân, doanh nghiệp khi sắp xếp tổ chức bộ máy dẫn đến thay đổi quy định về TTHC, Thủ tướng Chính phủ yêu cầu Bộ trưởng, Thủ trưởng cơ quan ngang bộ, Chủ tịch </w:t>
      </w:r>
      <w:r w:rsidR="00DD54D1" w:rsidRPr="00DD54D1">
        <w:rPr>
          <w:rFonts w:ascii="Arial" w:hAnsi="Arial" w:cs="Arial"/>
          <w:sz w:val="20"/>
          <w:szCs w:val="20"/>
        </w:rPr>
        <w:t>Ủy ban</w:t>
      </w:r>
      <w:r w:rsidRPr="00DD54D1">
        <w:rPr>
          <w:rFonts w:ascii="Arial" w:hAnsi="Arial" w:cs="Arial"/>
          <w:sz w:val="20"/>
          <w:szCs w:val="20"/>
        </w:rPr>
        <w:t xml:space="preserve"> nhân dân các tỉnh, thành phố trực thuộc trung ương tập trung triển khai các nội dung sau:</w:t>
      </w:r>
    </w:p>
    <w:p w:rsidR="004F510E" w:rsidRPr="00DD54D1" w:rsidRDefault="00DD54D1" w:rsidP="00DD54D1">
      <w:pPr>
        <w:pStyle w:val="Vnbnnidung20"/>
        <w:tabs>
          <w:tab w:val="left" w:pos="878"/>
        </w:tabs>
        <w:spacing w:after="120" w:line="240" w:lineRule="auto"/>
        <w:ind w:right="0" w:firstLine="720"/>
        <w:jc w:val="both"/>
        <w:rPr>
          <w:rFonts w:ascii="Arial" w:hAnsi="Arial" w:cs="Arial"/>
          <w:sz w:val="20"/>
          <w:szCs w:val="20"/>
        </w:rPr>
      </w:pPr>
      <w:bookmarkStart w:id="2" w:name="bookmark2"/>
      <w:bookmarkEnd w:id="2"/>
      <w:r w:rsidRPr="00DD54D1">
        <w:rPr>
          <w:rFonts w:ascii="Arial" w:hAnsi="Arial" w:cs="Arial"/>
          <w:sz w:val="20"/>
          <w:szCs w:val="20"/>
          <w:lang w:val="en-US"/>
        </w:rPr>
        <w:t xml:space="preserve">1. </w:t>
      </w:r>
      <w:r w:rsidRPr="00DD54D1">
        <w:rPr>
          <w:rFonts w:ascii="Arial" w:hAnsi="Arial" w:cs="Arial"/>
          <w:sz w:val="20"/>
          <w:szCs w:val="20"/>
        </w:rPr>
        <w:t>V</w:t>
      </w:r>
      <w:r w:rsidR="00C72F6F" w:rsidRPr="00DD54D1">
        <w:rPr>
          <w:rFonts w:ascii="Arial" w:hAnsi="Arial" w:cs="Arial"/>
          <w:sz w:val="20"/>
          <w:szCs w:val="20"/>
        </w:rPr>
        <w:t>ề việc sửa đổi quy định và công bố, công khai TTHC</w:t>
      </w:r>
    </w:p>
    <w:p w:rsidR="004F510E" w:rsidRPr="00DD54D1" w:rsidRDefault="00DD54D1" w:rsidP="00DD54D1">
      <w:pPr>
        <w:pStyle w:val="Vnbnnidung0"/>
        <w:tabs>
          <w:tab w:val="left" w:pos="937"/>
        </w:tabs>
        <w:spacing w:after="120" w:line="240" w:lineRule="auto"/>
        <w:ind w:firstLine="720"/>
        <w:jc w:val="both"/>
        <w:rPr>
          <w:rFonts w:ascii="Arial" w:hAnsi="Arial" w:cs="Arial"/>
          <w:sz w:val="20"/>
          <w:szCs w:val="20"/>
        </w:rPr>
      </w:pPr>
      <w:bookmarkStart w:id="3" w:name="bookmark3"/>
      <w:bookmarkEnd w:id="3"/>
      <w:r w:rsidRPr="00DD54D1">
        <w:rPr>
          <w:rFonts w:ascii="Arial" w:hAnsi="Arial" w:cs="Arial"/>
          <w:sz w:val="20"/>
          <w:szCs w:val="20"/>
          <w:lang w:val="en-US"/>
        </w:rPr>
        <w:t xml:space="preserve">a) </w:t>
      </w:r>
      <w:r w:rsidR="00C72F6F" w:rsidRPr="00DD54D1">
        <w:rPr>
          <w:rFonts w:ascii="Arial" w:hAnsi="Arial" w:cs="Arial"/>
          <w:sz w:val="20"/>
          <w:szCs w:val="20"/>
        </w:rPr>
        <w:t xml:space="preserve">Cơ quan, người có thẩm quyền kịp </w:t>
      </w:r>
      <w:bookmarkStart w:id="4" w:name="_GoBack"/>
      <w:bookmarkEnd w:id="4"/>
      <w:r w:rsidR="00C72F6F" w:rsidRPr="00DD54D1">
        <w:rPr>
          <w:rFonts w:ascii="Arial" w:hAnsi="Arial" w:cs="Arial"/>
          <w:sz w:val="20"/>
          <w:szCs w:val="20"/>
        </w:rPr>
        <w:t>thời xây dựng, ban hành theo thẩm quyền hoặc trình cấp có th</w:t>
      </w:r>
      <w:r w:rsidR="00B768E0">
        <w:rPr>
          <w:rFonts w:ascii="Arial" w:hAnsi="Arial" w:cs="Arial"/>
          <w:sz w:val="20"/>
          <w:szCs w:val="20"/>
          <w:lang w:val="en-US"/>
        </w:rPr>
        <w:t>ẩ</w:t>
      </w:r>
      <w:r w:rsidR="00C72F6F" w:rsidRPr="00DD54D1">
        <w:rPr>
          <w:rFonts w:ascii="Arial" w:hAnsi="Arial" w:cs="Arial"/>
          <w:sz w:val="20"/>
          <w:szCs w:val="20"/>
        </w:rPr>
        <w:t>m quyền ban hành các văn bản quy phạm pháp luật đ</w:t>
      </w:r>
      <w:r w:rsidRPr="00DD54D1">
        <w:rPr>
          <w:rFonts w:ascii="Arial" w:hAnsi="Arial" w:cs="Arial"/>
          <w:sz w:val="20"/>
          <w:szCs w:val="20"/>
          <w:lang w:val="en-US"/>
        </w:rPr>
        <w:t>ể</w:t>
      </w:r>
      <w:r w:rsidR="00C72F6F" w:rsidRPr="00DD54D1">
        <w:rPr>
          <w:rFonts w:ascii="Arial" w:hAnsi="Arial" w:cs="Arial"/>
          <w:sz w:val="20"/>
          <w:szCs w:val="20"/>
        </w:rPr>
        <w:t xml:space="preserve"> sửa đổi, bổ sung, bãi bỏ văn bản quy phạm pháp luật có quy định TTHC cần điều chỉnh do tiếp nhận chức năng, nhiệm vụ, quyền hạn mới.</w:t>
      </w:r>
      <w:r w:rsidRPr="00DD54D1">
        <w:rPr>
          <w:rFonts w:ascii="Arial" w:hAnsi="Arial" w:cs="Arial"/>
          <w:sz w:val="20"/>
          <w:szCs w:val="20"/>
        </w:rPr>
        <w:t xml:space="preserve"> Trong thời gian chờ sửa đổi, bổ</w:t>
      </w:r>
      <w:r w:rsidR="00C72F6F" w:rsidRPr="00DD54D1">
        <w:rPr>
          <w:rFonts w:ascii="Arial" w:hAnsi="Arial" w:cs="Arial"/>
          <w:sz w:val="20"/>
          <w:szCs w:val="20"/>
        </w:rPr>
        <w:t xml:space="preserve"> sung các văn bản quy phạm pháp luật nêu trên, cơ quan, người có thẩm quyền tiếp nhận chức năng, nhiệm vụ, quyền hạn thực hiện TTHC căn cứ quy định tại khoản 3 Điều 13 Nghị quyết số 190/2025/QH15 ngày 19 tháng 02 năm 2025 của Quốc hội quy định về xử lý một số vấn đề liên quan đến sắp xếp </w:t>
      </w:r>
      <w:r w:rsidRPr="00DD54D1">
        <w:rPr>
          <w:rFonts w:ascii="Arial" w:hAnsi="Arial" w:cs="Arial"/>
          <w:sz w:val="20"/>
          <w:szCs w:val="20"/>
        </w:rPr>
        <w:t>tổ chức</w:t>
      </w:r>
      <w:r w:rsidR="00C72F6F" w:rsidRPr="00DD54D1">
        <w:rPr>
          <w:rFonts w:ascii="Arial" w:hAnsi="Arial" w:cs="Arial"/>
          <w:sz w:val="20"/>
          <w:szCs w:val="20"/>
        </w:rPr>
        <w:t xml:space="preserve"> bộ máy nhà nước (s</w:t>
      </w:r>
      <w:r w:rsidRPr="00DD54D1">
        <w:rPr>
          <w:rFonts w:ascii="Arial" w:hAnsi="Arial" w:cs="Arial"/>
          <w:sz w:val="20"/>
          <w:szCs w:val="20"/>
        </w:rPr>
        <w:t>au đây viết tắt là Nghị quyết số</w:t>
      </w:r>
      <w:r w:rsidR="00C72F6F" w:rsidRPr="00DD54D1">
        <w:rPr>
          <w:rFonts w:ascii="Arial" w:hAnsi="Arial" w:cs="Arial"/>
          <w:sz w:val="20"/>
          <w:szCs w:val="20"/>
        </w:rPr>
        <w:t xml:space="preserve"> 190/2025/QH15) để hướng dẫn và tổ chức triển khai thực hiện TTHC bảo đảm liên tục, thông suốt, hiệu quả, không bị gián đoạn, hoàn thành trước ngày 01 tháng 3 năm 2025.</w:t>
      </w:r>
    </w:p>
    <w:p w:rsidR="004F510E" w:rsidRPr="00DD54D1" w:rsidRDefault="00DD54D1" w:rsidP="00DD54D1">
      <w:pPr>
        <w:pStyle w:val="Vnbnnidung0"/>
        <w:tabs>
          <w:tab w:val="left" w:pos="934"/>
        </w:tabs>
        <w:spacing w:after="120" w:line="240" w:lineRule="auto"/>
        <w:ind w:firstLine="720"/>
        <w:jc w:val="both"/>
        <w:rPr>
          <w:rFonts w:ascii="Arial" w:hAnsi="Arial" w:cs="Arial"/>
          <w:sz w:val="20"/>
          <w:szCs w:val="20"/>
        </w:rPr>
      </w:pPr>
      <w:bookmarkStart w:id="5" w:name="bookmark4"/>
      <w:bookmarkEnd w:id="5"/>
      <w:r w:rsidRPr="00DD54D1">
        <w:rPr>
          <w:rFonts w:ascii="Arial" w:hAnsi="Arial" w:cs="Arial"/>
          <w:sz w:val="20"/>
          <w:szCs w:val="20"/>
          <w:lang w:val="en-US"/>
        </w:rPr>
        <w:t xml:space="preserve">b) </w:t>
      </w:r>
      <w:r w:rsidR="00C72F6F" w:rsidRPr="00DD54D1">
        <w:rPr>
          <w:rFonts w:ascii="Arial" w:hAnsi="Arial" w:cs="Arial"/>
          <w:sz w:val="20"/>
          <w:szCs w:val="20"/>
        </w:rPr>
        <w:t>Bộ, cơ quan ngang bộ thực hiện nghiêm chỉ đạo tại khoản 1 Điều 5 Nghị quyết số 190/2025/QH15, kịp thời công bố, công khai TTHC, cập nhật trên Cơ sở dữ liệu quốc gia về TTHC, làm cơ sở để các địa phương công bố danh mục TTHC áp dụng trên địa bàn tỉnh, thành phố.</w:t>
      </w:r>
    </w:p>
    <w:p w:rsidR="004F510E" w:rsidRPr="00DD54D1" w:rsidRDefault="00DD54D1" w:rsidP="00DD54D1">
      <w:pPr>
        <w:pStyle w:val="Vnbnnidung20"/>
        <w:tabs>
          <w:tab w:val="left" w:pos="887"/>
        </w:tabs>
        <w:spacing w:after="120" w:line="240" w:lineRule="auto"/>
        <w:ind w:right="0" w:firstLine="720"/>
        <w:jc w:val="both"/>
        <w:rPr>
          <w:rFonts w:ascii="Arial" w:hAnsi="Arial" w:cs="Arial"/>
          <w:sz w:val="20"/>
          <w:szCs w:val="20"/>
        </w:rPr>
      </w:pPr>
      <w:bookmarkStart w:id="6" w:name="bookmark5"/>
      <w:bookmarkEnd w:id="6"/>
      <w:r w:rsidRPr="00DD54D1">
        <w:rPr>
          <w:rFonts w:ascii="Arial" w:hAnsi="Arial" w:cs="Arial"/>
          <w:sz w:val="20"/>
          <w:szCs w:val="20"/>
          <w:lang w:val="en-US"/>
        </w:rPr>
        <w:t xml:space="preserve">2. </w:t>
      </w:r>
      <w:r w:rsidRPr="00DD54D1">
        <w:rPr>
          <w:rFonts w:ascii="Arial" w:hAnsi="Arial" w:cs="Arial"/>
          <w:sz w:val="20"/>
          <w:szCs w:val="20"/>
        </w:rPr>
        <w:t>V</w:t>
      </w:r>
      <w:r w:rsidR="00C72F6F" w:rsidRPr="00DD54D1">
        <w:rPr>
          <w:rFonts w:ascii="Arial" w:hAnsi="Arial" w:cs="Arial"/>
          <w:sz w:val="20"/>
          <w:szCs w:val="20"/>
        </w:rPr>
        <w:t>ề tiếp nhận, giải quyết TTHC</w:t>
      </w:r>
    </w:p>
    <w:p w:rsidR="004F510E" w:rsidRPr="00DD54D1" w:rsidRDefault="00DD54D1" w:rsidP="00DD54D1">
      <w:pPr>
        <w:pStyle w:val="Vnbnnidung0"/>
        <w:tabs>
          <w:tab w:val="left" w:pos="936"/>
        </w:tabs>
        <w:spacing w:after="120" w:line="240" w:lineRule="auto"/>
        <w:ind w:firstLine="720"/>
        <w:jc w:val="both"/>
        <w:rPr>
          <w:rFonts w:ascii="Arial" w:hAnsi="Arial" w:cs="Arial"/>
          <w:sz w:val="20"/>
          <w:szCs w:val="20"/>
        </w:rPr>
      </w:pPr>
      <w:bookmarkStart w:id="7" w:name="bookmark6"/>
      <w:bookmarkEnd w:id="7"/>
      <w:r w:rsidRPr="00DD54D1">
        <w:rPr>
          <w:rFonts w:ascii="Arial" w:hAnsi="Arial" w:cs="Arial"/>
          <w:sz w:val="20"/>
          <w:szCs w:val="20"/>
          <w:lang w:val="en-US"/>
        </w:rPr>
        <w:t xml:space="preserve">a) </w:t>
      </w:r>
      <w:r w:rsidR="00C72F6F" w:rsidRPr="00DD54D1">
        <w:rPr>
          <w:rFonts w:ascii="Arial" w:hAnsi="Arial" w:cs="Arial"/>
          <w:sz w:val="20"/>
          <w:szCs w:val="20"/>
        </w:rPr>
        <w:t>Thực hiện việc tiếp nhận, giải quyết TTHC theo đúng quy định tại khoản 2 Điều 5 và khoản 1, khoản 2 Điều 10 Nghị quyết số 190/2025/</w:t>
      </w:r>
      <w:r w:rsidRPr="00DD54D1">
        <w:rPr>
          <w:rFonts w:ascii="Arial" w:hAnsi="Arial" w:cs="Arial"/>
          <w:sz w:val="20"/>
          <w:szCs w:val="20"/>
        </w:rPr>
        <w:t>QH15. Đối với các TTHC thuộc th</w:t>
      </w:r>
      <w:r w:rsidRPr="00DD54D1">
        <w:rPr>
          <w:rFonts w:ascii="Arial" w:hAnsi="Arial" w:cs="Arial"/>
          <w:sz w:val="20"/>
          <w:szCs w:val="20"/>
          <w:lang w:val="en-US"/>
        </w:rPr>
        <w:t>ẩ</w:t>
      </w:r>
      <w:r w:rsidR="00C72F6F" w:rsidRPr="00DD54D1">
        <w:rPr>
          <w:rFonts w:ascii="Arial" w:hAnsi="Arial" w:cs="Arial"/>
          <w:sz w:val="20"/>
          <w:szCs w:val="20"/>
        </w:rPr>
        <w:t xml:space="preserve">m quyền tiếp nhận, giải quyết của các cấp chính quyền trên địa bàn tỉnh và các cơ quan ngành dọc của Trung ương đóng tại địa phương, </w:t>
      </w:r>
      <w:r w:rsidRPr="00DD54D1">
        <w:rPr>
          <w:rFonts w:ascii="Arial" w:hAnsi="Arial" w:cs="Arial"/>
          <w:sz w:val="20"/>
          <w:szCs w:val="20"/>
        </w:rPr>
        <w:t>Ủy ban</w:t>
      </w:r>
      <w:r w:rsidR="00C72F6F" w:rsidRPr="00DD54D1">
        <w:rPr>
          <w:rFonts w:ascii="Arial" w:hAnsi="Arial" w:cs="Arial"/>
          <w:sz w:val="20"/>
          <w:szCs w:val="20"/>
        </w:rPr>
        <w:t xml:space="preserve"> nhân dân cấp tỉnh và các cơ quan ngành dọc của Trung ương đóng tại địa phương tổ chức thực hiện tiếp nhận, giải quyết TTHC theo hướng dẫn của các bộ, cơ quan tiếp nhận chức năng, nhiệm vụ, quyền hạn sau khi sắp xếp bộ máy, bảo đảm duy trì sự ổn định, liên tục, thông suốt, hiệu quả, không bị gián đoạn. Hướng dẫn của các bộ, cơ quan tiếp nhận chức năng, nhiệm vụ, quyền hạn nêu trên phải hoàn thành trước ngày 01 tháng 3 năm 2025.</w:t>
      </w:r>
    </w:p>
    <w:p w:rsidR="004F510E" w:rsidRPr="00DD54D1" w:rsidRDefault="00DD54D1" w:rsidP="00DD54D1">
      <w:pPr>
        <w:pStyle w:val="Vnbnnidung0"/>
        <w:tabs>
          <w:tab w:val="left" w:pos="943"/>
        </w:tabs>
        <w:spacing w:after="120" w:line="240" w:lineRule="auto"/>
        <w:ind w:firstLine="720"/>
        <w:jc w:val="both"/>
        <w:rPr>
          <w:rFonts w:ascii="Arial" w:hAnsi="Arial" w:cs="Arial"/>
          <w:sz w:val="20"/>
          <w:szCs w:val="20"/>
        </w:rPr>
      </w:pPr>
      <w:bookmarkStart w:id="8" w:name="bookmark7"/>
      <w:bookmarkEnd w:id="8"/>
      <w:r w:rsidRPr="00DD54D1">
        <w:rPr>
          <w:rFonts w:ascii="Arial" w:hAnsi="Arial" w:cs="Arial"/>
          <w:sz w:val="20"/>
          <w:szCs w:val="20"/>
          <w:lang w:val="en-US"/>
        </w:rPr>
        <w:t xml:space="preserve">b) </w:t>
      </w:r>
      <w:r w:rsidR="00C72F6F" w:rsidRPr="00DD54D1">
        <w:rPr>
          <w:rFonts w:ascii="Arial" w:hAnsi="Arial" w:cs="Arial"/>
          <w:sz w:val="20"/>
          <w:szCs w:val="20"/>
        </w:rPr>
        <w:t>Các bộ, cơ quan, địa phương kiện toàn Bộ phận Một cửa các cấp và triển khai theo hướng lấy người dân, doanh nghiệp làm trung tâm, đẩy mạnh việc tiếp nhận TTHC không phụ thuộc vào địa giới hành chính trên cơ sở ứng dụng công nghệ thông tin; thực hiện nghiêm việc số hóa hồ sơ, giấy tờ, kết quả giải quyết TTHC trong quá trình tiếp nhận, xử lý tại Bộ phận Một cửa; kịp thời sửa đổi, ban hành mã định danh của cơ quan, đơn vị trực thuộc theo hướng dẫn của Bộ Khoa học và Công nghệ, đồng bộ, cập nhật trên Trục liên thông văn bản quốc gia, Cơ sở dữ liệu quốc gia về TTHC.</w:t>
      </w:r>
    </w:p>
    <w:p w:rsidR="004F510E" w:rsidRPr="00DD54D1" w:rsidRDefault="00DD54D1" w:rsidP="00DD54D1">
      <w:pPr>
        <w:pStyle w:val="Vnbnnidung20"/>
        <w:tabs>
          <w:tab w:val="left" w:pos="911"/>
        </w:tabs>
        <w:spacing w:after="120" w:line="240" w:lineRule="auto"/>
        <w:ind w:right="0" w:firstLine="720"/>
        <w:jc w:val="both"/>
        <w:rPr>
          <w:rFonts w:ascii="Arial" w:hAnsi="Arial" w:cs="Arial"/>
          <w:sz w:val="20"/>
          <w:szCs w:val="20"/>
        </w:rPr>
      </w:pPr>
      <w:bookmarkStart w:id="9" w:name="bookmark8"/>
      <w:bookmarkEnd w:id="9"/>
      <w:r w:rsidRPr="00DD54D1">
        <w:rPr>
          <w:rFonts w:ascii="Arial" w:hAnsi="Arial" w:cs="Arial"/>
          <w:sz w:val="20"/>
          <w:szCs w:val="20"/>
          <w:lang w:val="en-US"/>
        </w:rPr>
        <w:t>3. V</w:t>
      </w:r>
      <w:r w:rsidR="00C72F6F" w:rsidRPr="00DD54D1">
        <w:rPr>
          <w:rFonts w:ascii="Arial" w:hAnsi="Arial" w:cs="Arial"/>
          <w:sz w:val="20"/>
          <w:szCs w:val="20"/>
        </w:rPr>
        <w:t>ề các hệ thống thông tin giải quyết TTHC</w:t>
      </w:r>
    </w:p>
    <w:p w:rsidR="004F510E" w:rsidRPr="00DD54D1" w:rsidRDefault="00DD54D1" w:rsidP="00DD54D1">
      <w:pPr>
        <w:pStyle w:val="Vnbnnidung0"/>
        <w:tabs>
          <w:tab w:val="left" w:pos="921"/>
        </w:tabs>
        <w:spacing w:after="120" w:line="240" w:lineRule="auto"/>
        <w:ind w:firstLine="720"/>
        <w:jc w:val="both"/>
        <w:rPr>
          <w:rFonts w:ascii="Arial" w:hAnsi="Arial" w:cs="Arial"/>
          <w:sz w:val="20"/>
          <w:szCs w:val="20"/>
        </w:rPr>
      </w:pPr>
      <w:bookmarkStart w:id="10" w:name="bookmark9"/>
      <w:bookmarkEnd w:id="10"/>
      <w:r w:rsidRPr="00DD54D1">
        <w:rPr>
          <w:rFonts w:ascii="Arial" w:hAnsi="Arial" w:cs="Arial"/>
          <w:sz w:val="20"/>
          <w:szCs w:val="20"/>
          <w:lang w:val="en-US"/>
        </w:rPr>
        <w:t xml:space="preserve">a) </w:t>
      </w:r>
      <w:r w:rsidR="00C72F6F" w:rsidRPr="00DD54D1">
        <w:rPr>
          <w:rFonts w:ascii="Arial" w:hAnsi="Arial" w:cs="Arial"/>
          <w:sz w:val="20"/>
          <w:szCs w:val="20"/>
        </w:rPr>
        <w:t xml:space="preserve">Các bộ, cơ quan tiếp nhận chức năng nhiệm vụ khẩn trương thực hiện giải pháp điều chỉnh, hợp nhất hoặc nâng cấp Hệ thống thông tin giải quyết TTHC cấp bộ theo chức năng nhiệm vụ mới; </w:t>
      </w:r>
      <w:r w:rsidRPr="00DD54D1">
        <w:rPr>
          <w:rFonts w:ascii="Arial" w:hAnsi="Arial" w:cs="Arial"/>
          <w:sz w:val="20"/>
          <w:szCs w:val="20"/>
        </w:rPr>
        <w:t>Ủy ban</w:t>
      </w:r>
      <w:r w:rsidR="00C72F6F" w:rsidRPr="00DD54D1">
        <w:rPr>
          <w:rFonts w:ascii="Arial" w:hAnsi="Arial" w:cs="Arial"/>
          <w:sz w:val="20"/>
          <w:szCs w:val="20"/>
        </w:rPr>
        <w:t xml:space="preserve"> nhân dân cấp tỉnh chủ động điều chỉnh hoặc nâng cấp hệ thống thông tin giải quyết TTHC cấp tỉnh theo thẩm quyền, bảo đảm tính kế thừa về thông tin, dữ liệu, an toàn, an ninh và việc tiếp nhận giải quyết TTHC liên tục, thông suốt, hiệu quả, không bị gián đoạn.</w:t>
      </w:r>
    </w:p>
    <w:p w:rsidR="004F510E" w:rsidRPr="00DD54D1" w:rsidRDefault="00DD54D1" w:rsidP="00DD54D1">
      <w:pPr>
        <w:pStyle w:val="Vnbnnidung0"/>
        <w:tabs>
          <w:tab w:val="left" w:pos="939"/>
        </w:tabs>
        <w:spacing w:after="120" w:line="240" w:lineRule="auto"/>
        <w:ind w:firstLine="720"/>
        <w:jc w:val="both"/>
        <w:rPr>
          <w:rFonts w:ascii="Arial" w:hAnsi="Arial" w:cs="Arial"/>
          <w:sz w:val="20"/>
          <w:szCs w:val="20"/>
        </w:rPr>
      </w:pPr>
      <w:bookmarkStart w:id="11" w:name="bookmark10"/>
      <w:bookmarkEnd w:id="11"/>
      <w:r w:rsidRPr="00DD54D1">
        <w:rPr>
          <w:rFonts w:ascii="Arial" w:hAnsi="Arial" w:cs="Arial"/>
          <w:sz w:val="20"/>
          <w:szCs w:val="20"/>
          <w:lang w:val="en-US"/>
        </w:rPr>
        <w:t xml:space="preserve">b) </w:t>
      </w:r>
      <w:r w:rsidR="00C72F6F" w:rsidRPr="00DD54D1">
        <w:rPr>
          <w:rFonts w:ascii="Arial" w:hAnsi="Arial" w:cs="Arial"/>
          <w:sz w:val="20"/>
          <w:szCs w:val="20"/>
        </w:rPr>
        <w:t xml:space="preserve">Các bộ, cơ quan, địa phương: (i) Khẩn trương hoàn thiện quy trình nội bộ, quy trình điện tử </w:t>
      </w:r>
      <w:r w:rsidR="00C72F6F" w:rsidRPr="00DD54D1">
        <w:rPr>
          <w:rFonts w:ascii="Arial" w:hAnsi="Arial" w:cs="Arial"/>
          <w:sz w:val="20"/>
          <w:szCs w:val="20"/>
        </w:rPr>
        <w:lastRenderedPageBreak/>
        <w:t>đối với việc giải quyết từng TTHC theo sự thay đổi của quy định TTHC khi sắp xếp tổ chức bộ máy; điều chỉnh Mã số hồ sơ giải quyết TTHC theo bộ mã của bộ, cơ quan, đơn vị mới; sử dụng thống nhất tên miền Hệ thống thông tin giải quyết TTHC theo quy định; (ii) Cập nhật các danh mục dữ liệu dùng chung của Cổng Dịch vụ công quốc gia theo quy định tại Điều 6, Điều 50 Quyết định số 31/2021/QĐ-TTg của Th</w:t>
      </w:r>
      <w:r w:rsidRPr="00DD54D1">
        <w:rPr>
          <w:rFonts w:ascii="Arial" w:hAnsi="Arial" w:cs="Arial"/>
          <w:sz w:val="20"/>
          <w:szCs w:val="20"/>
          <w:lang w:val="en-US"/>
        </w:rPr>
        <w:t>ủ</w:t>
      </w:r>
      <w:r w:rsidR="00C72F6F" w:rsidRPr="00DD54D1">
        <w:rPr>
          <w:rFonts w:ascii="Arial" w:hAnsi="Arial" w:cs="Arial"/>
          <w:sz w:val="20"/>
          <w:szCs w:val="20"/>
        </w:rPr>
        <w:t xml:space="preserve"> tướng Chính phủ và trên Hệ thống thông tin giải quyết TTHC cấp bộ, cấp tỉnh.</w:t>
      </w:r>
    </w:p>
    <w:p w:rsidR="004F510E" w:rsidRPr="00DD54D1" w:rsidRDefault="00C72F6F" w:rsidP="00DD54D1">
      <w:pPr>
        <w:pStyle w:val="Vnbnnidung0"/>
        <w:spacing w:after="120" w:line="240" w:lineRule="auto"/>
        <w:ind w:firstLine="720"/>
        <w:jc w:val="both"/>
        <w:rPr>
          <w:rFonts w:ascii="Arial" w:hAnsi="Arial" w:cs="Arial"/>
          <w:sz w:val="20"/>
          <w:szCs w:val="20"/>
        </w:rPr>
      </w:pPr>
      <w:r w:rsidRPr="00DD54D1">
        <w:rPr>
          <w:rFonts w:ascii="Arial" w:hAnsi="Arial" w:cs="Arial"/>
          <w:sz w:val="20"/>
          <w:szCs w:val="20"/>
        </w:rPr>
        <w:t>- Bộ Khoa học và Công nghệ chủ trì, phối hợp với các bộ, cơ quan xây d</w:t>
      </w:r>
      <w:r w:rsidR="00DD54D1" w:rsidRPr="00DD54D1">
        <w:rPr>
          <w:rFonts w:ascii="Arial" w:hAnsi="Arial" w:cs="Arial"/>
          <w:sz w:val="20"/>
          <w:szCs w:val="20"/>
          <w:lang w:val="en-US"/>
        </w:rPr>
        <w:t>ự</w:t>
      </w:r>
      <w:r w:rsidRPr="00DD54D1">
        <w:rPr>
          <w:rFonts w:ascii="Arial" w:hAnsi="Arial" w:cs="Arial"/>
          <w:sz w:val="20"/>
          <w:szCs w:val="20"/>
        </w:rPr>
        <w:t xml:space="preserve">ng, trình Thủ tướng Chính phủ ban hành Quyết định sửa đổi, bổ sung Quyết định số 20/2020/QĐ-TTg ngày 22 tháng 7 năm 2020 của Thủ tướng Chính phủ theo </w:t>
      </w:r>
      <w:r w:rsidR="00DD54D1" w:rsidRPr="00DD54D1">
        <w:rPr>
          <w:rFonts w:ascii="Arial" w:hAnsi="Arial" w:cs="Arial"/>
          <w:sz w:val="20"/>
          <w:szCs w:val="20"/>
        </w:rPr>
        <w:t>trình tự, thủ tục rút gọn phù h</w:t>
      </w:r>
      <w:r w:rsidR="00DD54D1" w:rsidRPr="00DD54D1">
        <w:rPr>
          <w:rFonts w:ascii="Arial" w:hAnsi="Arial" w:cs="Arial"/>
          <w:sz w:val="20"/>
          <w:szCs w:val="20"/>
          <w:lang w:val="en-US"/>
        </w:rPr>
        <w:t>ợ</w:t>
      </w:r>
      <w:r w:rsidRPr="00DD54D1">
        <w:rPr>
          <w:rFonts w:ascii="Arial" w:hAnsi="Arial" w:cs="Arial"/>
          <w:sz w:val="20"/>
          <w:szCs w:val="20"/>
        </w:rPr>
        <w:t xml:space="preserve">p với cơ cấu </w:t>
      </w:r>
      <w:r w:rsidR="00DD54D1" w:rsidRPr="00DD54D1">
        <w:rPr>
          <w:rFonts w:ascii="Arial" w:hAnsi="Arial" w:cs="Arial"/>
          <w:sz w:val="20"/>
          <w:szCs w:val="20"/>
        </w:rPr>
        <w:t>tổ chức</w:t>
      </w:r>
      <w:r w:rsidRPr="00DD54D1">
        <w:rPr>
          <w:rFonts w:ascii="Arial" w:hAnsi="Arial" w:cs="Arial"/>
          <w:sz w:val="20"/>
          <w:szCs w:val="20"/>
        </w:rPr>
        <w:t xml:space="preserve"> bộ máy của Chính phủ sau khi kiện toàn và có hướng dẫn cho các bộ, ngành, địa phương công bố, cập nhật mã</w:t>
      </w:r>
      <w:r w:rsidR="00DD54D1" w:rsidRPr="00DD54D1">
        <w:rPr>
          <w:rFonts w:ascii="Arial" w:hAnsi="Arial" w:cs="Arial"/>
          <w:sz w:val="20"/>
          <w:szCs w:val="20"/>
          <w:lang w:val="en-US"/>
        </w:rPr>
        <w:t xml:space="preserve"> </w:t>
      </w:r>
      <w:r w:rsidRPr="00DD54D1">
        <w:rPr>
          <w:rFonts w:ascii="Arial" w:hAnsi="Arial" w:cs="Arial"/>
          <w:sz w:val="20"/>
          <w:szCs w:val="20"/>
        </w:rPr>
        <w:t>định danh của cơ quan, tổ chức tránh làm gián đoạn kết nối, chia sẻ dữ liệu giữa các bộ, cơ quan, địa phương (như gửi nhận văn bản điện tử, tiếp nhận, giải quyết hồ sơ TTHC,...), hoàn thành trước ngày 15 tháng 3 năm 2025.</w:t>
      </w:r>
    </w:p>
    <w:p w:rsidR="004F510E" w:rsidRPr="00DD54D1" w:rsidRDefault="00DD54D1" w:rsidP="00DD54D1">
      <w:pPr>
        <w:pStyle w:val="Vnbnnidung0"/>
        <w:tabs>
          <w:tab w:val="left" w:pos="963"/>
        </w:tabs>
        <w:spacing w:after="0" w:line="240" w:lineRule="auto"/>
        <w:ind w:firstLine="720"/>
        <w:jc w:val="both"/>
        <w:rPr>
          <w:rFonts w:ascii="Arial" w:hAnsi="Arial" w:cs="Arial"/>
          <w:sz w:val="20"/>
          <w:szCs w:val="20"/>
          <w:lang w:val="en-US"/>
        </w:rPr>
      </w:pPr>
      <w:bookmarkStart w:id="12" w:name="bookmark11"/>
      <w:bookmarkEnd w:id="12"/>
      <w:r w:rsidRPr="00DD54D1">
        <w:rPr>
          <w:rFonts w:ascii="Arial" w:hAnsi="Arial" w:cs="Arial"/>
          <w:b/>
          <w:sz w:val="20"/>
          <w:szCs w:val="20"/>
          <w:lang w:val="en-US"/>
        </w:rPr>
        <w:t>4.</w:t>
      </w:r>
      <w:r w:rsidRPr="00DD54D1">
        <w:rPr>
          <w:rFonts w:ascii="Arial" w:hAnsi="Arial" w:cs="Arial"/>
          <w:sz w:val="20"/>
          <w:szCs w:val="20"/>
          <w:lang w:val="en-US"/>
        </w:rPr>
        <w:t xml:space="preserve"> </w:t>
      </w:r>
      <w:r w:rsidR="00C72F6F" w:rsidRPr="00DD54D1">
        <w:rPr>
          <w:rFonts w:ascii="Arial" w:hAnsi="Arial" w:cs="Arial"/>
          <w:sz w:val="20"/>
          <w:szCs w:val="20"/>
        </w:rPr>
        <w:t>Văn phòng Chính phủ theo dõi, đôn đốc việc triển khai các nhiệm vụ liên quan đến thực hiện TTHC cho người dân, doanh nghiệp sau khi sắp xếp, tinh gọn tổ chức bộ máy; kịp thời tổng hợp, báo cáo Thủ tướng Chính phủ những vấn đề vượt thẩm quyền./</w:t>
      </w:r>
      <w:r w:rsidRPr="00DD54D1">
        <w:rPr>
          <w:rFonts w:ascii="Arial" w:hAnsi="Arial" w:cs="Arial"/>
          <w:sz w:val="20"/>
          <w:szCs w:val="20"/>
          <w:lang w:val="en-US"/>
        </w:rPr>
        <w:t>.</w:t>
      </w:r>
    </w:p>
    <w:p w:rsidR="00DD54D1" w:rsidRPr="00DD54D1" w:rsidRDefault="00DD54D1" w:rsidP="00DD54D1">
      <w:pPr>
        <w:pStyle w:val="Vnbnnidung0"/>
        <w:tabs>
          <w:tab w:val="left" w:pos="963"/>
        </w:tabs>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DD54D1" w:rsidRPr="00DD54D1" w:rsidTr="00DD54D1">
        <w:trPr>
          <w:tblCellSpacing w:w="0" w:type="dxa"/>
        </w:trPr>
        <w:tc>
          <w:tcPr>
            <w:tcW w:w="2500" w:type="pct"/>
            <w:shd w:val="clear" w:color="auto" w:fill="FFFFFF"/>
            <w:tcMar>
              <w:top w:w="0" w:type="dxa"/>
              <w:left w:w="108" w:type="dxa"/>
              <w:bottom w:w="0" w:type="dxa"/>
              <w:right w:w="108" w:type="dxa"/>
            </w:tcMar>
            <w:hideMark/>
          </w:tcPr>
          <w:p w:rsidR="00DD54D1" w:rsidRPr="00DD54D1" w:rsidRDefault="00DD54D1" w:rsidP="00DD54D1">
            <w:pPr>
              <w:pStyle w:val="Vnbnnidung0"/>
              <w:tabs>
                <w:tab w:val="left" w:pos="258"/>
              </w:tabs>
              <w:spacing w:after="0" w:line="240" w:lineRule="auto"/>
              <w:ind w:firstLine="0"/>
              <w:rPr>
                <w:rFonts w:ascii="Arial" w:hAnsi="Arial" w:cs="Arial"/>
                <w:sz w:val="20"/>
                <w:szCs w:val="20"/>
              </w:rPr>
            </w:pPr>
            <w:r w:rsidRPr="00DD54D1">
              <w:rPr>
                <w:rFonts w:ascii="Arial" w:hAnsi="Arial" w:cs="Arial"/>
                <w:b/>
                <w:bCs/>
                <w:i/>
                <w:iCs/>
                <w:sz w:val="20"/>
                <w:szCs w:val="20"/>
              </w:rPr>
              <w:t>Nơi nhận:</w:t>
            </w:r>
            <w:r w:rsidRPr="00DD54D1">
              <w:rPr>
                <w:rFonts w:ascii="Arial" w:hAnsi="Arial" w:cs="Arial"/>
                <w:b/>
                <w:bCs/>
                <w:i/>
                <w:iCs/>
                <w:sz w:val="20"/>
                <w:szCs w:val="20"/>
              </w:rPr>
              <w:br/>
            </w:r>
            <w:r w:rsidRPr="00DD54D1">
              <w:rPr>
                <w:rFonts w:ascii="Arial" w:hAnsi="Arial" w:cs="Arial"/>
                <w:sz w:val="20"/>
                <w:szCs w:val="20"/>
                <w:lang w:val="en-US"/>
              </w:rPr>
              <w:t xml:space="preserve">- </w:t>
            </w:r>
            <w:r w:rsidRPr="00DD54D1">
              <w:rPr>
                <w:rFonts w:ascii="Arial" w:hAnsi="Arial" w:cs="Arial"/>
                <w:sz w:val="20"/>
                <w:szCs w:val="20"/>
              </w:rPr>
              <w:t>Như trên;</w:t>
            </w:r>
          </w:p>
          <w:p w:rsidR="00DD54D1" w:rsidRPr="00DD54D1" w:rsidRDefault="00DD54D1" w:rsidP="00DD54D1">
            <w:pPr>
              <w:pStyle w:val="Vnbnnidung0"/>
              <w:tabs>
                <w:tab w:val="left" w:pos="258"/>
              </w:tabs>
              <w:spacing w:after="0" w:line="240" w:lineRule="auto"/>
              <w:ind w:firstLine="0"/>
              <w:rPr>
                <w:rFonts w:ascii="Arial" w:hAnsi="Arial" w:cs="Arial"/>
                <w:sz w:val="20"/>
                <w:szCs w:val="20"/>
              </w:rPr>
            </w:pPr>
            <w:bookmarkStart w:id="13" w:name="bookmark13"/>
            <w:bookmarkEnd w:id="13"/>
            <w:r w:rsidRPr="00DD54D1">
              <w:rPr>
                <w:rFonts w:ascii="Arial" w:hAnsi="Arial" w:cs="Arial"/>
                <w:sz w:val="20"/>
                <w:szCs w:val="20"/>
                <w:lang w:val="en-US"/>
              </w:rPr>
              <w:t xml:space="preserve">- </w:t>
            </w:r>
            <w:r w:rsidRPr="00DD54D1">
              <w:rPr>
                <w:rFonts w:ascii="Arial" w:hAnsi="Arial" w:cs="Arial"/>
                <w:sz w:val="20"/>
                <w:szCs w:val="20"/>
              </w:rPr>
              <w:t>TTgCP, các PTTgCP;</w:t>
            </w:r>
          </w:p>
          <w:p w:rsidR="00DD54D1" w:rsidRPr="00DD54D1" w:rsidRDefault="00DD54D1" w:rsidP="00DD54D1">
            <w:pPr>
              <w:pStyle w:val="Vnbnnidung0"/>
              <w:spacing w:after="0" w:line="240" w:lineRule="auto"/>
              <w:ind w:firstLine="0"/>
              <w:rPr>
                <w:rFonts w:ascii="Arial" w:hAnsi="Arial" w:cs="Arial"/>
                <w:sz w:val="20"/>
                <w:szCs w:val="20"/>
              </w:rPr>
            </w:pPr>
            <w:r w:rsidRPr="00DD54D1">
              <w:rPr>
                <w:rFonts w:ascii="Arial" w:hAnsi="Arial" w:cs="Arial"/>
                <w:sz w:val="20"/>
                <w:szCs w:val="20"/>
              </w:rPr>
              <w:t>-</w:t>
            </w:r>
            <w:r w:rsidRPr="00DD54D1">
              <w:rPr>
                <w:rFonts w:ascii="Arial" w:hAnsi="Arial" w:cs="Arial"/>
                <w:sz w:val="20"/>
                <w:szCs w:val="20"/>
                <w:lang w:val="en-US"/>
              </w:rPr>
              <w:t xml:space="preserve"> </w:t>
            </w:r>
            <w:r w:rsidRPr="00DD54D1">
              <w:rPr>
                <w:rFonts w:ascii="Arial" w:hAnsi="Arial" w:cs="Arial"/>
                <w:sz w:val="20"/>
                <w:szCs w:val="20"/>
              </w:rPr>
              <w:t>Tổ công tác cải cách TTHC của TTgCP;</w:t>
            </w:r>
          </w:p>
          <w:p w:rsidR="00DD54D1" w:rsidRPr="00DD54D1" w:rsidRDefault="00DD54D1" w:rsidP="00DD54D1">
            <w:pPr>
              <w:pStyle w:val="Vnbnnidung0"/>
              <w:tabs>
                <w:tab w:val="left" w:pos="258"/>
              </w:tabs>
              <w:spacing w:after="0" w:line="240" w:lineRule="auto"/>
              <w:ind w:firstLine="0"/>
              <w:rPr>
                <w:rFonts w:ascii="Arial" w:hAnsi="Arial" w:cs="Arial"/>
                <w:sz w:val="20"/>
                <w:szCs w:val="20"/>
              </w:rPr>
            </w:pPr>
            <w:bookmarkStart w:id="14" w:name="bookmark14"/>
            <w:bookmarkEnd w:id="14"/>
            <w:r w:rsidRPr="00DD54D1">
              <w:rPr>
                <w:rFonts w:ascii="Arial" w:hAnsi="Arial" w:cs="Arial"/>
                <w:sz w:val="20"/>
                <w:szCs w:val="20"/>
                <w:lang w:val="en-US"/>
              </w:rPr>
              <w:t xml:space="preserve">- </w:t>
            </w:r>
            <w:r w:rsidRPr="00DD54D1">
              <w:rPr>
                <w:rFonts w:ascii="Arial" w:hAnsi="Arial" w:cs="Arial"/>
                <w:sz w:val="20"/>
                <w:szCs w:val="20"/>
              </w:rPr>
              <w:t>VPCP: BTCN, các PCN,</w:t>
            </w:r>
            <w:r w:rsidRPr="00DD54D1">
              <w:rPr>
                <w:rFonts w:ascii="Arial" w:hAnsi="Arial" w:cs="Arial"/>
                <w:sz w:val="20"/>
                <w:szCs w:val="20"/>
                <w:lang w:val="en-US"/>
              </w:rPr>
              <w:t xml:space="preserve"> </w:t>
            </w:r>
            <w:r w:rsidRPr="00DD54D1">
              <w:rPr>
                <w:rFonts w:ascii="Arial" w:hAnsi="Arial" w:cs="Arial"/>
                <w:sz w:val="20"/>
                <w:szCs w:val="20"/>
              </w:rPr>
              <w:t>các Vụ, Cục, đ</w:t>
            </w:r>
            <w:r w:rsidRPr="00DD54D1">
              <w:rPr>
                <w:rFonts w:ascii="Arial" w:hAnsi="Arial" w:cs="Arial"/>
                <w:sz w:val="20"/>
                <w:szCs w:val="20"/>
                <w:lang w:val="en-US"/>
              </w:rPr>
              <w:t>ơ</w:t>
            </w:r>
            <w:r w:rsidRPr="00DD54D1">
              <w:rPr>
                <w:rFonts w:ascii="Arial" w:hAnsi="Arial" w:cs="Arial"/>
                <w:sz w:val="20"/>
                <w:szCs w:val="20"/>
              </w:rPr>
              <w:t>n vị thuộc VPCP;</w:t>
            </w:r>
          </w:p>
          <w:p w:rsidR="00DD54D1" w:rsidRPr="00DD54D1" w:rsidRDefault="00DD54D1" w:rsidP="00DD54D1">
            <w:pPr>
              <w:pStyle w:val="Vnbnnidung0"/>
              <w:tabs>
                <w:tab w:val="left" w:pos="261"/>
              </w:tabs>
              <w:spacing w:after="0" w:line="240" w:lineRule="auto"/>
              <w:ind w:firstLine="0"/>
              <w:rPr>
                <w:rFonts w:ascii="Arial" w:hAnsi="Arial" w:cs="Arial"/>
                <w:sz w:val="20"/>
                <w:szCs w:val="20"/>
              </w:rPr>
            </w:pPr>
            <w:bookmarkStart w:id="15" w:name="bookmark15"/>
            <w:bookmarkEnd w:id="15"/>
            <w:r w:rsidRPr="00DD54D1">
              <w:rPr>
                <w:rFonts w:ascii="Arial" w:hAnsi="Arial" w:cs="Arial"/>
                <w:sz w:val="20"/>
                <w:szCs w:val="20"/>
                <w:lang w:val="en-US"/>
              </w:rPr>
              <w:t xml:space="preserve">- </w:t>
            </w:r>
            <w:r w:rsidRPr="00DD54D1">
              <w:rPr>
                <w:rFonts w:ascii="Arial" w:hAnsi="Arial" w:cs="Arial"/>
                <w:sz w:val="20"/>
                <w:szCs w:val="20"/>
              </w:rPr>
              <w:t>Lưu: VT, KSTT (2).</w:t>
            </w:r>
          </w:p>
        </w:tc>
        <w:tc>
          <w:tcPr>
            <w:tcW w:w="2500" w:type="pct"/>
            <w:shd w:val="clear" w:color="auto" w:fill="FFFFFF"/>
            <w:tcMar>
              <w:top w:w="0" w:type="dxa"/>
              <w:left w:w="108" w:type="dxa"/>
              <w:bottom w:w="0" w:type="dxa"/>
              <w:right w:w="108" w:type="dxa"/>
            </w:tcMar>
            <w:hideMark/>
          </w:tcPr>
          <w:p w:rsidR="00DD54D1" w:rsidRPr="00DD54D1" w:rsidRDefault="00DD54D1" w:rsidP="00DD54D1">
            <w:pPr>
              <w:jc w:val="center"/>
              <w:rPr>
                <w:rFonts w:ascii="Arial" w:hAnsi="Arial" w:cs="Arial"/>
                <w:b/>
                <w:sz w:val="20"/>
                <w:szCs w:val="20"/>
                <w:lang w:val="en-US"/>
              </w:rPr>
            </w:pPr>
            <w:r w:rsidRPr="00DD54D1">
              <w:rPr>
                <w:rFonts w:ascii="Arial" w:hAnsi="Arial" w:cs="Arial"/>
                <w:b/>
                <w:sz w:val="20"/>
                <w:szCs w:val="20"/>
                <w:lang w:val="en-US"/>
              </w:rPr>
              <w:t>KT. THỦ TƯỚNG</w:t>
            </w:r>
          </w:p>
          <w:p w:rsidR="00DD54D1" w:rsidRPr="00DD54D1" w:rsidRDefault="00DD54D1" w:rsidP="00DD54D1">
            <w:pPr>
              <w:jc w:val="center"/>
              <w:rPr>
                <w:rFonts w:ascii="Arial" w:hAnsi="Arial" w:cs="Arial"/>
                <w:b/>
                <w:sz w:val="20"/>
                <w:szCs w:val="20"/>
                <w:lang w:val="en-US"/>
              </w:rPr>
            </w:pPr>
            <w:r w:rsidRPr="00DD54D1">
              <w:rPr>
                <w:rFonts w:ascii="Arial" w:hAnsi="Arial" w:cs="Arial"/>
                <w:b/>
                <w:sz w:val="20"/>
                <w:szCs w:val="20"/>
                <w:lang w:val="en-US"/>
              </w:rPr>
              <w:t>PHÓ THỦ TƯỚNG</w:t>
            </w:r>
          </w:p>
          <w:p w:rsidR="00DD54D1" w:rsidRPr="00DD54D1" w:rsidRDefault="00DD54D1" w:rsidP="00DD54D1">
            <w:pPr>
              <w:jc w:val="center"/>
              <w:rPr>
                <w:rFonts w:ascii="Arial" w:hAnsi="Arial" w:cs="Arial"/>
                <w:b/>
                <w:sz w:val="20"/>
                <w:szCs w:val="20"/>
                <w:lang w:val="en-US"/>
              </w:rPr>
            </w:pPr>
          </w:p>
          <w:p w:rsidR="00DD54D1" w:rsidRPr="00DD54D1" w:rsidRDefault="00DD54D1" w:rsidP="00DD54D1">
            <w:pPr>
              <w:jc w:val="center"/>
              <w:rPr>
                <w:rFonts w:ascii="Arial" w:hAnsi="Arial" w:cs="Arial"/>
                <w:b/>
                <w:sz w:val="20"/>
                <w:szCs w:val="20"/>
                <w:lang w:val="en-US"/>
              </w:rPr>
            </w:pPr>
          </w:p>
          <w:p w:rsidR="00DD54D1" w:rsidRPr="00DD54D1" w:rsidRDefault="00DD54D1" w:rsidP="00DD54D1">
            <w:pPr>
              <w:jc w:val="center"/>
              <w:rPr>
                <w:rFonts w:ascii="Arial" w:hAnsi="Arial" w:cs="Arial"/>
                <w:b/>
                <w:sz w:val="20"/>
                <w:szCs w:val="20"/>
                <w:lang w:val="en-US"/>
              </w:rPr>
            </w:pPr>
          </w:p>
          <w:p w:rsidR="00DD54D1" w:rsidRPr="00DD54D1" w:rsidRDefault="00DD54D1" w:rsidP="00DD54D1">
            <w:pPr>
              <w:jc w:val="center"/>
              <w:rPr>
                <w:rFonts w:ascii="Arial" w:hAnsi="Arial" w:cs="Arial"/>
                <w:b/>
                <w:sz w:val="20"/>
                <w:szCs w:val="20"/>
                <w:lang w:val="en-US"/>
              </w:rPr>
            </w:pPr>
          </w:p>
          <w:p w:rsidR="00DD54D1" w:rsidRPr="00DD54D1" w:rsidRDefault="00DD54D1" w:rsidP="00DD54D1">
            <w:pPr>
              <w:jc w:val="center"/>
              <w:rPr>
                <w:rFonts w:ascii="Arial" w:hAnsi="Arial" w:cs="Arial"/>
                <w:b/>
                <w:sz w:val="20"/>
                <w:szCs w:val="20"/>
                <w:lang w:val="en-US"/>
              </w:rPr>
            </w:pPr>
            <w:r w:rsidRPr="00DD54D1">
              <w:rPr>
                <w:rFonts w:ascii="Arial" w:hAnsi="Arial" w:cs="Arial"/>
                <w:b/>
                <w:sz w:val="20"/>
                <w:szCs w:val="20"/>
                <w:lang w:val="en-US"/>
              </w:rPr>
              <w:t>Nguyễn Hòa Bình</w:t>
            </w:r>
          </w:p>
        </w:tc>
      </w:tr>
    </w:tbl>
    <w:p w:rsidR="00DD54D1" w:rsidRPr="00DD54D1" w:rsidRDefault="00DD54D1" w:rsidP="00DD54D1">
      <w:pPr>
        <w:pStyle w:val="Vnbnnidung0"/>
        <w:tabs>
          <w:tab w:val="left" w:pos="261"/>
        </w:tabs>
        <w:spacing w:after="120" w:line="240" w:lineRule="auto"/>
        <w:ind w:firstLine="720"/>
        <w:jc w:val="both"/>
        <w:rPr>
          <w:rFonts w:ascii="Arial" w:hAnsi="Arial" w:cs="Arial"/>
          <w:sz w:val="20"/>
          <w:szCs w:val="20"/>
        </w:rPr>
      </w:pPr>
      <w:bookmarkStart w:id="16" w:name="bookmark12"/>
      <w:bookmarkEnd w:id="16"/>
    </w:p>
    <w:sectPr w:rsidR="00DD54D1" w:rsidRPr="00DD54D1" w:rsidSect="00474DFE">
      <w:headerReference w:type="default" r:id="rId7"/>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B7" w:rsidRDefault="00FD7AB7">
      <w:r>
        <w:separator/>
      </w:r>
    </w:p>
  </w:endnote>
  <w:endnote w:type="continuationSeparator" w:id="0">
    <w:p w:rsidR="00FD7AB7" w:rsidRDefault="00FD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B7" w:rsidRDefault="00FD7AB7"/>
  </w:footnote>
  <w:footnote w:type="continuationSeparator" w:id="0">
    <w:p w:rsidR="00FD7AB7" w:rsidRDefault="00FD7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0E" w:rsidRDefault="004F510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B67"/>
    <w:multiLevelType w:val="multilevel"/>
    <w:tmpl w:val="6EA04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D152F"/>
    <w:multiLevelType w:val="multilevel"/>
    <w:tmpl w:val="A4C0D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526A03"/>
    <w:multiLevelType w:val="multilevel"/>
    <w:tmpl w:val="783E53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AF04B5"/>
    <w:multiLevelType w:val="multilevel"/>
    <w:tmpl w:val="8892E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3A389D"/>
    <w:multiLevelType w:val="multilevel"/>
    <w:tmpl w:val="3D5C79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0E"/>
    <w:rsid w:val="00023A51"/>
    <w:rsid w:val="000C4765"/>
    <w:rsid w:val="00474DFE"/>
    <w:rsid w:val="004F510E"/>
    <w:rsid w:val="0063666E"/>
    <w:rsid w:val="00B422D1"/>
    <w:rsid w:val="00B768E0"/>
    <w:rsid w:val="00C05F83"/>
    <w:rsid w:val="00C72F6F"/>
    <w:rsid w:val="00DD54D1"/>
    <w:rsid w:val="00FD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FDC313-A327-4789-BB94-58C89B04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80" w:line="305"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spacing w:after="900"/>
      <w:ind w:hanging="1040"/>
    </w:pPr>
    <w:rPr>
      <w:rFonts w:ascii="Times New Roman" w:eastAsia="Times New Roman" w:hAnsi="Times New Roman" w:cs="Times New Roman"/>
      <w:sz w:val="18"/>
      <w:szCs w:val="18"/>
    </w:rPr>
  </w:style>
  <w:style w:type="paragraph" w:customStyle="1" w:styleId="Vnbnnidung20">
    <w:name w:val="Văn bản nội dung (2)"/>
    <w:basedOn w:val="Normal"/>
    <w:link w:val="Vnbnnidung2"/>
    <w:pPr>
      <w:spacing w:after="160" w:line="264" w:lineRule="auto"/>
      <w:ind w:right="370" w:firstLine="560"/>
    </w:pPr>
    <w:rPr>
      <w:rFonts w:ascii="Times New Roman" w:eastAsia="Times New Roman" w:hAnsi="Times New Roman" w:cs="Times New Roman"/>
      <w:b/>
      <w:bCs/>
      <w:sz w:val="28"/>
      <w:szCs w:val="28"/>
    </w:rPr>
  </w:style>
  <w:style w:type="paragraph" w:customStyle="1" w:styleId="Chthchnh0">
    <w:name w:val="Chú thích ảnh"/>
    <w:basedOn w:val="Normal"/>
    <w:link w:val="Chthchnh"/>
    <w:pPr>
      <w:jc w:val="right"/>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D54D1"/>
    <w:pPr>
      <w:tabs>
        <w:tab w:val="center" w:pos="4680"/>
        <w:tab w:val="right" w:pos="9360"/>
      </w:tabs>
    </w:pPr>
  </w:style>
  <w:style w:type="character" w:customStyle="1" w:styleId="HeaderChar">
    <w:name w:val="Header Char"/>
    <w:basedOn w:val="DefaultParagraphFont"/>
    <w:link w:val="Header"/>
    <w:uiPriority w:val="99"/>
    <w:rsid w:val="00DD54D1"/>
    <w:rPr>
      <w:color w:val="000000"/>
    </w:rPr>
  </w:style>
  <w:style w:type="paragraph" w:styleId="Footer">
    <w:name w:val="footer"/>
    <w:basedOn w:val="Normal"/>
    <w:link w:val="FooterChar"/>
    <w:uiPriority w:val="99"/>
    <w:unhideWhenUsed/>
    <w:rsid w:val="00DD54D1"/>
    <w:pPr>
      <w:tabs>
        <w:tab w:val="center" w:pos="4680"/>
        <w:tab w:val="right" w:pos="9360"/>
      </w:tabs>
    </w:pPr>
  </w:style>
  <w:style w:type="character" w:customStyle="1" w:styleId="FooterChar">
    <w:name w:val="Footer Char"/>
    <w:basedOn w:val="DefaultParagraphFont"/>
    <w:link w:val="Footer"/>
    <w:uiPriority w:val="99"/>
    <w:rsid w:val="00DD54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adminpc</cp:lastModifiedBy>
  <cp:revision>2</cp:revision>
  <dcterms:created xsi:type="dcterms:W3CDTF">2025-02-27T10:44:00Z</dcterms:created>
  <dcterms:modified xsi:type="dcterms:W3CDTF">2025-02-27T10:44:00Z</dcterms:modified>
</cp:coreProperties>
</file>