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612" w:rsidRPr="00492612" w:rsidRDefault="00492612" w:rsidP="00492612">
      <w:pPr>
        <w:spacing w:after="0" w:line="234" w:lineRule="atLeast"/>
        <w:jc w:val="center"/>
        <w:rPr>
          <w:rFonts w:ascii="Arial" w:eastAsia="Times New Roman" w:hAnsi="Arial" w:cs="Arial"/>
          <w:color w:val="000000"/>
          <w:sz w:val="18"/>
          <w:szCs w:val="18"/>
        </w:rPr>
      </w:pPr>
      <w:bookmarkStart w:id="0" w:name="chuong_pl_6"/>
      <w:r w:rsidRPr="00492612">
        <w:rPr>
          <w:rFonts w:ascii="Arial" w:eastAsia="Times New Roman" w:hAnsi="Arial" w:cs="Arial"/>
          <w:b/>
          <w:bCs/>
          <w:color w:val="000000"/>
          <w:sz w:val="24"/>
          <w:szCs w:val="24"/>
        </w:rPr>
        <w:t>PHỤ LỤC VI</w:t>
      </w:r>
      <w:bookmarkEnd w:id="0"/>
    </w:p>
    <w:p w:rsidR="00492612" w:rsidRPr="00492612" w:rsidRDefault="00492612" w:rsidP="00492612">
      <w:pPr>
        <w:spacing w:after="0" w:line="234" w:lineRule="atLeast"/>
        <w:jc w:val="center"/>
        <w:rPr>
          <w:rFonts w:ascii="Arial" w:eastAsia="Times New Roman" w:hAnsi="Arial" w:cs="Arial"/>
          <w:color w:val="000000"/>
          <w:sz w:val="18"/>
          <w:szCs w:val="18"/>
        </w:rPr>
      </w:pPr>
      <w:bookmarkStart w:id="1" w:name="chuong_pl_6_name"/>
      <w:r w:rsidRPr="00492612">
        <w:rPr>
          <w:rFonts w:ascii="Arial" w:eastAsia="Times New Roman" w:hAnsi="Arial" w:cs="Arial"/>
          <w:color w:val="000000"/>
          <w:sz w:val="20"/>
          <w:szCs w:val="20"/>
        </w:rPr>
        <w:t>CHUYÊN MÔN VÀ LĨNH VỰC CẤP CHỨNG CHỈ HÀNH NGHỀ HOẠT ĐỘNG XÂY DỰNG</w:t>
      </w:r>
      <w:bookmarkEnd w:id="1"/>
      <w:r w:rsidRPr="00492612">
        <w:rPr>
          <w:rFonts w:ascii="Arial" w:eastAsia="Times New Roman" w:hAnsi="Arial" w:cs="Arial"/>
          <w:color w:val="000000"/>
          <w:sz w:val="20"/>
          <w:szCs w:val="20"/>
        </w:rPr>
        <w:br/>
      </w:r>
      <w:r w:rsidRPr="00492612">
        <w:rPr>
          <w:rFonts w:ascii="Arial" w:eastAsia="Times New Roman" w:hAnsi="Arial" w:cs="Arial"/>
          <w:i/>
          <w:iCs/>
          <w:color w:val="000000"/>
          <w:sz w:val="20"/>
          <w:szCs w:val="20"/>
        </w:rPr>
        <w:t>(Kèm theo Nghị định số 175/2024/NĐ-CP ngày 30 tháng 12 năm 2024 của Chính phủ)</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3"/>
        <w:gridCol w:w="1588"/>
        <w:gridCol w:w="1588"/>
        <w:gridCol w:w="2522"/>
        <w:gridCol w:w="2989"/>
      </w:tblGrid>
      <w:tr w:rsidR="00492612" w:rsidRPr="00492612" w:rsidTr="00492612">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STT</w:t>
            </w:r>
          </w:p>
        </w:tc>
        <w:tc>
          <w:tcPr>
            <w:tcW w:w="170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cấp CCHN</w:t>
            </w:r>
          </w:p>
        </w:tc>
        <w:tc>
          <w:tcPr>
            <w:tcW w:w="290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Chuyên môn</w:t>
            </w:r>
          </w:p>
        </w:tc>
      </w:tr>
      <w:tr w:rsidR="00492612" w:rsidRPr="00492612" w:rsidTr="00492612">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cấp</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Nội dung hành nghề</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Chuy</w:t>
            </w:r>
            <w:bookmarkStart w:id="2" w:name="_GoBack"/>
            <w:bookmarkEnd w:id="2"/>
            <w:r w:rsidRPr="00492612">
              <w:rPr>
                <w:rFonts w:ascii="Arial" w:eastAsia="Times New Roman" w:hAnsi="Arial" w:cs="Arial"/>
                <w:b/>
                <w:bCs/>
                <w:color w:val="000000"/>
                <w:sz w:val="20"/>
                <w:szCs w:val="20"/>
              </w:rPr>
              <w:t>ên ngành đào tạo theo văn bằng</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Chuyên môn đào tạo phù hợp thể hiện tại bảng điểm/phụ lục văn bằng trong trường hợp văn bằng không ghi rõ chuyên ngành đào tạo</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1</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khảo sát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1.1</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Khảo sát địa hình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trắc địa, bản đồ hoặc các chuyên ngành kỹ thuật xây dựng có liên quan.</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trắc địa, bản đồ.</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1.2</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Khảo sát địa chất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địa chất công trình, địa chất thủy văn hoặc các chuyên ngành kỹ thuật xây dựng có liên quan.</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địa chất công trình, địa chất thủy văn.</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2</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thiết kế quy hoạch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Thiết kế quy hoạch xây dựng</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kiến trúc (không bao gồm thiết kế nội thất và kiến trúc nội thất, cảnh quan), quy hoạch xây dựng, giao thông, kỹ thuật điện, cấp nước, thoát nước và xử lý nước thải, tài nguyên nước và hạ tầng kỹ thuật đô thị, kinh tế đô thị.</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after="0" w:line="240" w:lineRule="auto"/>
              <w:rPr>
                <w:rFonts w:ascii="Arial" w:eastAsia="Times New Roman" w:hAnsi="Arial" w:cs="Arial"/>
                <w:color w:val="000000"/>
                <w:sz w:val="18"/>
                <w:szCs w:val="18"/>
              </w:rPr>
            </w:pP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3</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thiết kế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3.1</w:t>
            </w:r>
          </w:p>
        </w:tc>
        <w:tc>
          <w:tcPr>
            <w:tcW w:w="8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Thiết kế xây dựng công trình</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Kết cấu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kết cấu công trình dân dụng, công nghiệp.</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kết cấu công trình dân dụng và công nghiệp.</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3.2</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Khai thác mỏ</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ngầm và mỏ.</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ngầm và mỏ.</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lastRenderedPageBreak/>
              <w:t>3.3</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Đường bộ</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giao thông đường bộ.</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giao thông đường bộ.</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3.4</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Đường sắt</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giao thông đường sắt.</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giao thông đường sắt.</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3.5</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Cầu - Hầm</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giao thông cầu, hầm.</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giao thông cầu, hầm.</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3.6</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Đường thủy nội địa - Hàng hải</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giao thông đường thủy nội địa, cảng đường thủy, công trình trên sông, công trình cảng biển</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giao thông đường thủy nội địa, cảng đường thủy, công trình trên sông, công trình cảng biển.</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3.7</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Thủy lợi, đê điều</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thủy lợi, thủy điện, đê điều.</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thủy lợi, thủy điện, đê điều.</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3.8</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Cấp nước - thoát nước</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công trình cấp nước - thoát nước.</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công trình cấp nước - thoát nước.</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3.9</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Công trình Xử lý chất thải rắn</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kỹ thuật môi trường.</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kỹ thuật môi trường.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3.10</w:t>
            </w:r>
          </w:p>
        </w:tc>
        <w:tc>
          <w:tcPr>
            <w:tcW w:w="8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Thiết kế cơ - điện công trình</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Hệ thống điện</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kỹ thuật điện.</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kỹ thuật điện.</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3.11</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Hệ thống cấp - thoát nước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cấp nước, thoát nước trong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cấp nước, thoát nước trong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3.12</w:t>
            </w:r>
          </w:p>
        </w:tc>
        <w:tc>
          <w:tcPr>
            <w:tcW w:w="0" w:type="auto"/>
            <w:vMerge/>
            <w:tcBorders>
              <w:top w:val="nil"/>
              <w:left w:val="nil"/>
              <w:bottom w:val="single" w:sz="8" w:space="0" w:color="auto"/>
              <w:right w:val="single" w:sz="8" w:space="0" w:color="auto"/>
            </w:tcBorders>
            <w:shd w:val="clear" w:color="auto" w:fill="FFFFFF"/>
            <w:vAlign w:val="cente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Hệ thống thông gió - cấp thoát nhiệt</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kỹ thuật thông gió - cấp thoát nhiệt, nhiệt lạnh, vi khí hậu.</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các môn học, đồ án môn học, đồ án tốt nghiệp về kỹ thuật thông gió - cấp thoát nhiệt, nhiệt lạnh, vi khí hậu.</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4</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giám sát thi công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4.1</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Giám sát công tác xây dựng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 xml:space="preserve">Chuyên ngành đào tạo về kết cấu công trình dân dụng, công nghiệp, công trình ngầm và mỏ, công trình giao thông, công </w:t>
            </w:r>
            <w:r w:rsidRPr="00492612">
              <w:rPr>
                <w:rFonts w:ascii="Arial" w:eastAsia="Times New Roman" w:hAnsi="Arial" w:cs="Arial"/>
                <w:color w:val="000000"/>
                <w:sz w:val="20"/>
                <w:szCs w:val="20"/>
              </w:rPr>
              <w:lastRenderedPageBreak/>
              <w:t>trình thủy lợi, đê điều, công trình cấp nước - thoát nước, kiến trúc, kinh tế xây dựng và chuyên ngành kỹ thuật có liên quan đến xây dựng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lastRenderedPageBreak/>
              <w:t xml:space="preserve">Có môn học về kết cấu công trình dân dụng, công nghiệp, công trình ngầm và mỏ, công trình giao thông, công trình thủy lợi, đê điều, công trình </w:t>
            </w:r>
            <w:r w:rsidRPr="00492612">
              <w:rPr>
                <w:rFonts w:ascii="Arial" w:eastAsia="Times New Roman" w:hAnsi="Arial" w:cs="Arial"/>
                <w:color w:val="000000"/>
                <w:sz w:val="20"/>
                <w:szCs w:val="20"/>
              </w:rPr>
              <w:lastRenderedPageBreak/>
              <w:t>cấp nước - thoát nước, kiến trúc, kinh tế xây dựng và chuyên ngành kỹ thuật có liên quan đến xây dựng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lastRenderedPageBreak/>
              <w:t>4.2</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Giám sát công tác lắp đặt thiết bị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kỹ thuật điện, thông gió - cấp thoát nhiệt, nhiệt lạnh, vi khí hậu, cấp nước - thoát nước trong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kỹ thuật điện, thông gió - cấp thoát nhiệt, nhiệt lạnh, vi khí hậu, cấp nước - thoát nước trong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5</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Lĩnh vực định giá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Định giá xây dựng</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kinh tế xây dựng, kinh tế kỹ thuật và các ngành kỹ thuật liên quan.</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kinh tế xây dựng, kinh tế kỹ thuật và các ngành kỹ thuật liên quan.</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6</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Quản lý dự án đầu tư xây dựng</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Quản lý dự án đầu tư xây dựng</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7</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Chỉ huy trưởng công trường - Lĩnh vực không yêu cầu cấp chứng chỉ hành nghề</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7.1</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Chỉ huy trưởng công tác thi công xây dựng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 xml:space="preserve">Chuyên ngành đào tạo về kết cấu công trình dân dụng, công nghiệp, công trình ngầm và mỏ, công trình giao thông, thủy điện, công trình thủy lợi, đê điều, công trình cấp nước - thoát nước, kiến trúc, kinh tế xây dựng và chuyên ngành kỹ thuật có </w:t>
            </w:r>
            <w:r w:rsidRPr="00492612">
              <w:rPr>
                <w:rFonts w:ascii="Arial" w:eastAsia="Times New Roman" w:hAnsi="Arial" w:cs="Arial"/>
                <w:color w:val="000000"/>
                <w:sz w:val="20"/>
                <w:szCs w:val="20"/>
              </w:rPr>
              <w:lastRenderedPageBreak/>
              <w:t>liên quan đến xây dựng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lastRenderedPageBreak/>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lastRenderedPageBreak/>
              <w:t>7.2</w:t>
            </w: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Chỉ huy trưởng công tác lắp đặt thiết bị công trình</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về kỹ thuật điện, thông gió - cấp thoát nhiệt, nhiệt lạnh, vi khí hậu, cấp nước - thoát nước trong công trình.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về kỹ thuật điện, thông gió - cấp thoát nhiệt, nhiệt lạnh, vi khí hậu, cấp nước - thoát nước trong công trình.</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b/>
                <w:bCs/>
                <w:color w:val="000000"/>
                <w:sz w:val="20"/>
                <w:szCs w:val="20"/>
              </w:rPr>
              <w:t>8</w:t>
            </w:r>
          </w:p>
        </w:tc>
        <w:tc>
          <w:tcPr>
            <w:tcW w:w="4600"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color w:val="000000"/>
                <w:sz w:val="20"/>
                <w:szCs w:val="20"/>
              </w:rPr>
              <w:t>Kiểm định xây dựng - Lĩnh vực không yêu cầu chứng chỉ hành nghề</w:t>
            </w:r>
          </w:p>
        </w:tc>
      </w:tr>
      <w:tr w:rsidR="00492612" w:rsidRPr="00492612" w:rsidTr="00492612">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after="0" w:line="240" w:lineRule="auto"/>
              <w:rPr>
                <w:rFonts w:ascii="Arial" w:eastAsia="Times New Roman" w:hAnsi="Arial" w:cs="Arial"/>
                <w:color w:val="000000"/>
                <w:sz w:val="18"/>
                <w:szCs w:val="18"/>
              </w:rPr>
            </w:pPr>
          </w:p>
        </w:tc>
        <w:tc>
          <w:tcPr>
            <w:tcW w:w="1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jc w:val="center"/>
              <w:rPr>
                <w:rFonts w:ascii="Arial" w:eastAsia="Times New Roman" w:hAnsi="Arial" w:cs="Arial"/>
                <w:color w:val="000000"/>
                <w:sz w:val="18"/>
                <w:szCs w:val="18"/>
              </w:rPr>
            </w:pPr>
            <w:r w:rsidRPr="00492612">
              <w:rPr>
                <w:rFonts w:ascii="Arial" w:eastAsia="Times New Roman" w:hAnsi="Arial" w:cs="Arial"/>
                <w:color w:val="000000"/>
                <w:sz w:val="20"/>
                <w:szCs w:val="20"/>
              </w:rPr>
              <w:t>Kiểm định xây dựng</w:t>
            </w:r>
          </w:p>
        </w:tc>
        <w:tc>
          <w:tcPr>
            <w:tcW w:w="1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Chuyên ngành đào tạo tương ứng với chuyên ngành đào tạo của lĩnh vực thiết kế quy định từ mục 3.1 đến mục 3.12 Phụ lục này, phù hợp với nội dung kiểm định.</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Có môn học tương ứng với các nội dung của lĩnh vực thiết kế quy định từ mục 3.1 đến mục 3.12 Phụ lục này, phù hợp với nội dung kiểm định.</w:t>
            </w:r>
          </w:p>
        </w:tc>
      </w:tr>
      <w:tr w:rsidR="00492612" w:rsidRPr="00492612" w:rsidTr="00492612">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b/>
                <w:bCs/>
                <w:i/>
                <w:iCs/>
                <w:color w:val="000000"/>
                <w:sz w:val="20"/>
                <w:szCs w:val="20"/>
              </w:rPr>
              <w:t>*Ghi chú:</w:t>
            </w:r>
          </w:p>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 Đối với văn bằng đào tạo không thuộc hệ thống giáo dục Việt Nam, hội đồng xét cấp chứng chỉ hành nghề căn cứ bảng điểm/phụ lục văn bằng để đánh giá tương đương.</w:t>
            </w:r>
          </w:p>
          <w:p w:rsidR="00492612" w:rsidRPr="00492612" w:rsidRDefault="00492612" w:rsidP="00492612">
            <w:pPr>
              <w:spacing w:before="120" w:after="120" w:line="234" w:lineRule="atLeast"/>
              <w:rPr>
                <w:rFonts w:ascii="Arial" w:eastAsia="Times New Roman" w:hAnsi="Arial" w:cs="Arial"/>
                <w:color w:val="000000"/>
                <w:sz w:val="18"/>
                <w:szCs w:val="18"/>
              </w:rPr>
            </w:pPr>
            <w:r w:rsidRPr="00492612">
              <w:rPr>
                <w:rFonts w:ascii="Arial" w:eastAsia="Times New Roman" w:hAnsi="Arial" w:cs="Arial"/>
                <w:color w:val="000000"/>
                <w:sz w:val="20"/>
                <w:szCs w:val="20"/>
              </w:rPr>
              <w:t>- Khi xét chuyên môn đào tạo phù hợp, hội đồng xét cấp chứng chỉ hành nghề căn cứ bảng điểm/phụ lục văn bằng để đánh giá nội dung đào tạo tương đương với đồ án môn học, đồ án tốt nghiệp.</w:t>
            </w:r>
          </w:p>
        </w:tc>
      </w:tr>
    </w:tbl>
    <w:p w:rsidR="001B3007" w:rsidRPr="00492612" w:rsidRDefault="001B3007" w:rsidP="00492612"/>
    <w:sectPr w:rsidR="001B3007" w:rsidRPr="004926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612"/>
    <w:rsid w:val="001B3007"/>
    <w:rsid w:val="00286F42"/>
    <w:rsid w:val="0049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DD38C3-AADA-494F-B2E9-604918FAC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6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39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2025-06-13T02:22:00Z</dcterms:created>
  <dcterms:modified xsi:type="dcterms:W3CDTF">2025-06-13T08:10:00Z</dcterms:modified>
</cp:coreProperties>
</file>