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92" w:rsidRPr="000E2492" w:rsidRDefault="000E2492" w:rsidP="000E2492">
      <w:pPr>
        <w:shd w:val="clear" w:color="auto" w:fill="FFFFFF"/>
        <w:spacing w:after="0" w:line="234" w:lineRule="atLeast"/>
        <w:jc w:val="center"/>
        <w:rPr>
          <w:rFonts w:ascii="Arial" w:eastAsia="Times New Roman" w:hAnsi="Arial" w:cs="Arial"/>
          <w:color w:val="000000"/>
          <w:sz w:val="18"/>
          <w:szCs w:val="18"/>
        </w:rPr>
      </w:pPr>
      <w:bookmarkStart w:id="0" w:name="chuong_pl_2"/>
      <w:r w:rsidRPr="000E2492">
        <w:rPr>
          <w:rFonts w:ascii="Arial" w:eastAsia="Times New Roman" w:hAnsi="Arial" w:cs="Arial"/>
          <w:b/>
          <w:bCs/>
          <w:color w:val="000000"/>
          <w:sz w:val="20"/>
          <w:szCs w:val="20"/>
        </w:rPr>
        <w:t>PHỤ LỤC II</w:t>
      </w:r>
      <w:bookmarkEnd w:id="0"/>
    </w:p>
    <w:p w:rsidR="000E2492" w:rsidRPr="000E2492" w:rsidRDefault="000E2492" w:rsidP="000E2492">
      <w:pPr>
        <w:shd w:val="clear" w:color="auto" w:fill="FFFFFF"/>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i/>
          <w:iCs/>
          <w:color w:val="000000"/>
          <w:sz w:val="20"/>
          <w:szCs w:val="20"/>
        </w:rPr>
        <w:t>(Ban hành kèm theo Thông tư số 37/2024/TT-NHNN của Thống đốc Ngân hàng Nhà nước quy định về cho vay đặc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8"/>
        <w:gridCol w:w="5682"/>
      </w:tblGrid>
      <w:tr w:rsidR="000E2492" w:rsidRPr="000E2492" w:rsidTr="000E2492">
        <w:trPr>
          <w:tblCellSpacing w:w="0" w:type="dxa"/>
        </w:trPr>
        <w:tc>
          <w:tcPr>
            <w:tcW w:w="4740" w:type="dxa"/>
            <w:shd w:val="clear" w:color="auto" w:fill="FFFFFF"/>
            <w:tcMar>
              <w:top w:w="0" w:type="dxa"/>
              <w:left w:w="108" w:type="dxa"/>
              <w:bottom w:w="0" w:type="dxa"/>
              <w:right w:w="108" w:type="dxa"/>
            </w:tcMa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i/>
                <w:iCs/>
                <w:color w:val="000000"/>
                <w:sz w:val="20"/>
                <w:szCs w:val="20"/>
              </w:rPr>
              <w:t>Tên tổ chức tín dụng:...</w:t>
            </w:r>
            <w:r w:rsidRPr="000E2492">
              <w:rPr>
                <w:rFonts w:ascii="Arial" w:eastAsia="Times New Roman" w:hAnsi="Arial" w:cs="Arial"/>
                <w:b/>
                <w:bCs/>
                <w:i/>
                <w:iCs/>
                <w:color w:val="000000"/>
                <w:sz w:val="20"/>
                <w:szCs w:val="20"/>
              </w:rPr>
              <w:br/>
              <w:t>Số văn bản: ...</w:t>
            </w:r>
          </w:p>
        </w:tc>
        <w:tc>
          <w:tcPr>
            <w:tcW w:w="7799" w:type="dxa"/>
            <w:shd w:val="clear" w:color="auto" w:fill="FFFFFF"/>
            <w:tcMar>
              <w:top w:w="0" w:type="dxa"/>
              <w:left w:w="108" w:type="dxa"/>
              <w:bottom w:w="0" w:type="dxa"/>
              <w:right w:w="108" w:type="dxa"/>
            </w:tcMar>
            <w:hideMark/>
          </w:tcPr>
          <w:p w:rsidR="000E2492" w:rsidRPr="000E2492" w:rsidRDefault="000E2492" w:rsidP="000E2492">
            <w:pPr>
              <w:spacing w:after="0" w:line="240" w:lineRule="auto"/>
              <w:rPr>
                <w:rFonts w:ascii="Arial" w:eastAsia="Times New Roman" w:hAnsi="Arial" w:cs="Arial"/>
                <w:color w:val="000000"/>
                <w:sz w:val="18"/>
                <w:szCs w:val="18"/>
              </w:rPr>
            </w:pPr>
          </w:p>
        </w:tc>
      </w:tr>
    </w:tbl>
    <w:p w:rsidR="000E2492" w:rsidRPr="000E2492" w:rsidRDefault="000E2492" w:rsidP="000E2492">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0E2492">
        <w:rPr>
          <w:rFonts w:ascii="Arial" w:eastAsia="Times New Roman" w:hAnsi="Arial" w:cs="Arial"/>
          <w:b/>
          <w:bCs/>
          <w:color w:val="000000"/>
          <w:sz w:val="20"/>
          <w:szCs w:val="20"/>
        </w:rPr>
        <w:t>SỐ LIỆU VỀ NGUỒN VỐN, SỬ DỤNG VỐN BẰNG ĐỒNG VIỆT NAM</w:t>
      </w:r>
      <w:bookmarkEnd w:id="1"/>
    </w:p>
    <w:p w:rsidR="000E2492" w:rsidRPr="000E2492" w:rsidRDefault="000E2492" w:rsidP="000E2492">
      <w:pPr>
        <w:shd w:val="clear" w:color="auto" w:fill="FFFFFF"/>
        <w:spacing w:before="120" w:after="120" w:line="234" w:lineRule="atLeast"/>
        <w:jc w:val="right"/>
        <w:rPr>
          <w:rFonts w:ascii="Arial" w:eastAsia="Times New Roman" w:hAnsi="Arial" w:cs="Arial"/>
          <w:color w:val="000000"/>
          <w:sz w:val="18"/>
          <w:szCs w:val="18"/>
        </w:rPr>
      </w:pPr>
      <w:r w:rsidRPr="000E2492">
        <w:rPr>
          <w:rFonts w:ascii="Arial" w:eastAsia="Times New Roman" w:hAnsi="Arial" w:cs="Arial"/>
          <w:i/>
          <w:iCs/>
          <w:color w:val="000000"/>
          <w:sz w:val="20"/>
          <w:szCs w:val="20"/>
        </w:rPr>
        <w:t> Đơn vị: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7"/>
        <w:gridCol w:w="2888"/>
        <w:gridCol w:w="1156"/>
        <w:gridCol w:w="1349"/>
        <w:gridCol w:w="674"/>
        <w:gridCol w:w="1252"/>
        <w:gridCol w:w="1444"/>
      </w:tblGrid>
      <w:tr w:rsidR="000E2492" w:rsidRPr="000E2492" w:rsidTr="000E2492">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STT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Chỉ tiêu</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Ngày cuối năm trước liền kề</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Ngày cuối tháng trước liền kề</w:t>
            </w:r>
          </w:p>
        </w:tc>
        <w:tc>
          <w:tcPr>
            <w:tcW w:w="1750" w:type="pct"/>
            <w:gridSpan w:val="3"/>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Ngày...</w:t>
            </w:r>
          </w:p>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(Ngày chốt số liệu báo cáo)</w:t>
            </w:r>
          </w:p>
        </w:tc>
      </w:tr>
      <w:tr w:rsidR="000E2492" w:rsidRPr="000E2492" w:rsidTr="000E249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Số dư</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Thay đổi so với cuối năm trước</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Thay đổi so với cuối tháng trước</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(1)</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(2)</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(3)</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(4)</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(5)</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(6) = (5) - (3)</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(7) = (5) - (4)</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I</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b/>
                <w:bCs/>
                <w:color w:val="000000"/>
                <w:sz w:val="20"/>
                <w:szCs w:val="20"/>
              </w:rPr>
              <w:t>Nguồn vốn VND</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1</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Tiền gửi từ cá nhân, tổ chức (trừ TCTD)</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a</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Cá nhân</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b</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Tổ chức (trừ TCTD)</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2</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Tiền gửi của Kho bạc Nhà nước</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3</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Vay, nhận tiền gửi từ TCTD khác</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4</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Vay NHNN</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color w:val="000000"/>
                <w:sz w:val="20"/>
                <w:szCs w:val="20"/>
              </w:rPr>
              <w:t>II</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b/>
                <w:bCs/>
                <w:color w:val="000000"/>
                <w:sz w:val="20"/>
                <w:szCs w:val="20"/>
              </w:rPr>
              <w:t>Sử dụng vốn VND</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after="0" w:line="240" w:lineRule="auto"/>
              <w:rPr>
                <w:rFonts w:ascii="Times New Roman" w:eastAsia="Times New Roman" w:hAnsi="Times New Roman" w:cs="Times New Roman"/>
                <w:sz w:val="20"/>
                <w:szCs w:val="20"/>
              </w:rPr>
            </w:pP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1</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Tiền mặt tại quỹ</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2</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Tiền gửi tại NHNN</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3</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Cho vay, gửi tiền tại TCTD khác</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4</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Tín dụng đối với nền kinh tế</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5</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Mua, đầu tư GTCG</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a</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Trái phiếu Chính phủ, trái phiếu được Chính phủ bảo lãnh</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b</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Tín phiếu NHNN</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r w:rsidR="000E2492" w:rsidRPr="000E2492" w:rsidTr="000E2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lastRenderedPageBreak/>
              <w:t>c</w:t>
            </w:r>
          </w:p>
        </w:tc>
        <w:tc>
          <w:tcPr>
            <w:tcW w:w="15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GTCG khác (ghi rõ)</w:t>
            </w:r>
          </w:p>
        </w:tc>
        <w:tc>
          <w:tcPr>
            <w:tcW w:w="6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vAlign w:val="center"/>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color w:val="000000"/>
                <w:sz w:val="20"/>
                <w:szCs w:val="20"/>
              </w:rPr>
              <w:t>…</w:t>
            </w:r>
          </w:p>
        </w:tc>
      </w:tr>
    </w:tbl>
    <w:p w:rsidR="000E2492" w:rsidRPr="000E2492" w:rsidRDefault="000E2492" w:rsidP="000E24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1"/>
        <w:gridCol w:w="1702"/>
        <w:gridCol w:w="1513"/>
        <w:gridCol w:w="3214"/>
      </w:tblGrid>
      <w:tr w:rsidR="000E2492" w:rsidRPr="000E2492" w:rsidTr="000E2492">
        <w:trPr>
          <w:tblCellSpacing w:w="0" w:type="dxa"/>
        </w:trPr>
        <w:tc>
          <w:tcPr>
            <w:tcW w:w="1550" w:type="pct"/>
            <w:shd w:val="clear" w:color="auto" w:fill="FFFFFF"/>
            <w:hideMark/>
          </w:tcPr>
          <w:p w:rsidR="000E2492" w:rsidRPr="000E2492" w:rsidRDefault="000E2492" w:rsidP="000E2492">
            <w:pPr>
              <w:spacing w:after="0" w:line="240" w:lineRule="auto"/>
              <w:rPr>
                <w:rFonts w:ascii="Times New Roman" w:eastAsia="Times New Roman" w:hAnsi="Times New Roman" w:cs="Times New Roman"/>
                <w:sz w:val="24"/>
                <w:szCs w:val="24"/>
              </w:rPr>
            </w:pPr>
          </w:p>
        </w:tc>
        <w:tc>
          <w:tcPr>
            <w:tcW w:w="900" w:type="pct"/>
            <w:shd w:val="clear" w:color="auto" w:fill="FFFFFF"/>
            <w:hideMark/>
          </w:tcPr>
          <w:p w:rsidR="000E2492" w:rsidRPr="000E2492" w:rsidRDefault="000E2492" w:rsidP="000E2492">
            <w:pPr>
              <w:spacing w:after="0" w:line="240" w:lineRule="auto"/>
              <w:rPr>
                <w:rFonts w:ascii="Times New Roman" w:eastAsia="Times New Roman" w:hAnsi="Times New Roman" w:cs="Times New Roman"/>
                <w:sz w:val="20"/>
                <w:szCs w:val="20"/>
              </w:rPr>
            </w:pPr>
          </w:p>
        </w:tc>
        <w:tc>
          <w:tcPr>
            <w:tcW w:w="2500" w:type="pct"/>
            <w:gridSpan w:val="2"/>
            <w:shd w:val="clear" w:color="auto" w:fill="FFFFFF"/>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i/>
                <w:iCs/>
                <w:color w:val="000000"/>
                <w:sz w:val="20"/>
                <w:szCs w:val="20"/>
              </w:rPr>
              <w:t>……., ngày ...tháng…năm ...</w:t>
            </w:r>
          </w:p>
        </w:tc>
      </w:tr>
      <w:tr w:rsidR="000E2492" w:rsidRPr="000E2492" w:rsidTr="000E2492">
        <w:trPr>
          <w:tblCellSpacing w:w="0" w:type="dxa"/>
        </w:trPr>
        <w:tc>
          <w:tcPr>
            <w:tcW w:w="1550" w:type="pct"/>
            <w:shd w:val="clear" w:color="auto" w:fill="FFFFFF"/>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i/>
                <w:iCs/>
                <w:color w:val="000000"/>
                <w:sz w:val="20"/>
                <w:szCs w:val="20"/>
              </w:rPr>
              <w:t>Xác nhận của</w:t>
            </w:r>
            <w:r w:rsidRPr="000E2492">
              <w:rPr>
                <w:rFonts w:ascii="Arial" w:eastAsia="Times New Roman" w:hAnsi="Arial" w:cs="Arial"/>
                <w:b/>
                <w:bCs/>
                <w:i/>
                <w:iCs/>
                <w:color w:val="000000"/>
                <w:sz w:val="20"/>
                <w:szCs w:val="20"/>
              </w:rPr>
              <w:br/>
              <w:t>Ban Kiểm soát đặc biệt</w:t>
            </w:r>
            <w:r w:rsidRPr="000E2492">
              <w:rPr>
                <w:rFonts w:ascii="Arial" w:eastAsia="Times New Roman" w:hAnsi="Arial" w:cs="Arial"/>
                <w:b/>
                <w:bCs/>
                <w:i/>
                <w:iCs/>
                <w:color w:val="000000"/>
                <w:sz w:val="20"/>
                <w:szCs w:val="20"/>
              </w:rPr>
              <w:br/>
              <w:t>(trường hợp tổ chức tín dụng được kiểm soát đặc biệt)</w:t>
            </w:r>
          </w:p>
        </w:tc>
        <w:tc>
          <w:tcPr>
            <w:tcW w:w="900" w:type="pct"/>
            <w:shd w:val="clear" w:color="auto" w:fill="FFFFFF"/>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i/>
                <w:iCs/>
                <w:color w:val="000000"/>
                <w:sz w:val="20"/>
                <w:szCs w:val="20"/>
              </w:rPr>
              <w:t>Lập biểu</w:t>
            </w:r>
          </w:p>
        </w:tc>
        <w:tc>
          <w:tcPr>
            <w:tcW w:w="800" w:type="pct"/>
            <w:shd w:val="clear" w:color="auto" w:fill="FFFFFF"/>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i/>
                <w:iCs/>
                <w:color w:val="000000"/>
                <w:sz w:val="20"/>
                <w:szCs w:val="20"/>
              </w:rPr>
              <w:t>Kiểm soát</w:t>
            </w:r>
          </w:p>
        </w:tc>
        <w:tc>
          <w:tcPr>
            <w:tcW w:w="1650" w:type="pct"/>
            <w:shd w:val="clear" w:color="auto" w:fill="FFFFFF"/>
            <w:hideMark/>
          </w:tcPr>
          <w:p w:rsidR="000E2492" w:rsidRPr="000E2492" w:rsidRDefault="000E2492" w:rsidP="000E2492">
            <w:pPr>
              <w:spacing w:before="120" w:after="120" w:line="234" w:lineRule="atLeast"/>
              <w:jc w:val="center"/>
              <w:rPr>
                <w:rFonts w:ascii="Arial" w:eastAsia="Times New Roman" w:hAnsi="Arial" w:cs="Arial"/>
                <w:color w:val="000000"/>
                <w:sz w:val="18"/>
                <w:szCs w:val="18"/>
              </w:rPr>
            </w:pPr>
            <w:r w:rsidRPr="000E2492">
              <w:rPr>
                <w:rFonts w:ascii="Arial" w:eastAsia="Times New Roman" w:hAnsi="Arial" w:cs="Arial"/>
                <w:b/>
                <w:bCs/>
                <w:i/>
                <w:iCs/>
                <w:color w:val="000000"/>
                <w:sz w:val="20"/>
                <w:szCs w:val="20"/>
              </w:rPr>
              <w:t>Người đại diện hợp pháp của tổ chức tín dụng</w:t>
            </w:r>
            <w:r w:rsidRPr="000E2492">
              <w:rPr>
                <w:rFonts w:ascii="Arial" w:eastAsia="Times New Roman" w:hAnsi="Arial" w:cs="Arial"/>
                <w:b/>
                <w:bCs/>
                <w:i/>
                <w:iCs/>
                <w:color w:val="000000"/>
                <w:sz w:val="20"/>
                <w:szCs w:val="20"/>
              </w:rPr>
              <w:br/>
            </w:r>
            <w:r w:rsidRPr="000E2492">
              <w:rPr>
                <w:rFonts w:ascii="Arial" w:eastAsia="Times New Roman" w:hAnsi="Arial" w:cs="Arial"/>
                <w:i/>
                <w:iCs/>
                <w:color w:val="000000"/>
                <w:sz w:val="20"/>
                <w:szCs w:val="20"/>
              </w:rPr>
              <w:t>(Ký, ghi rõ họ tên và đóng dấu)</w:t>
            </w:r>
          </w:p>
        </w:tc>
      </w:tr>
    </w:tbl>
    <w:p w:rsidR="000E2492" w:rsidRPr="000E2492" w:rsidRDefault="000E2492" w:rsidP="000E2492">
      <w:pPr>
        <w:shd w:val="clear" w:color="auto" w:fill="FFFFFF"/>
        <w:spacing w:before="120" w:after="120" w:line="234" w:lineRule="atLeast"/>
        <w:rPr>
          <w:rFonts w:ascii="Arial" w:eastAsia="Times New Roman" w:hAnsi="Arial" w:cs="Arial"/>
          <w:color w:val="000000"/>
          <w:sz w:val="18"/>
          <w:szCs w:val="18"/>
        </w:rPr>
      </w:pPr>
      <w:r w:rsidRPr="000E2492">
        <w:rPr>
          <w:rFonts w:ascii="Arial" w:eastAsia="Times New Roman" w:hAnsi="Arial" w:cs="Arial"/>
          <w:b/>
          <w:bCs/>
          <w:color w:val="000000"/>
          <w:sz w:val="20"/>
          <w:szCs w:val="20"/>
        </w:rPr>
        <w:t>Hướng dẫn lập biểu:</w:t>
      </w:r>
    </w:p>
    <w:p w:rsidR="000E2492" w:rsidRPr="000E2492" w:rsidRDefault="000E2492" w:rsidP="000E2492">
      <w:pPr>
        <w:shd w:val="clear" w:color="auto" w:fill="FFFFFF"/>
        <w:spacing w:before="120" w:after="120" w:line="234" w:lineRule="atLeast"/>
        <w:rPr>
          <w:rFonts w:ascii="Arial" w:eastAsia="Times New Roman" w:hAnsi="Arial" w:cs="Arial"/>
          <w:color w:val="000000"/>
          <w:sz w:val="18"/>
          <w:szCs w:val="18"/>
        </w:rPr>
      </w:pPr>
      <w:r w:rsidRPr="000E2492">
        <w:rPr>
          <w:rFonts w:ascii="Arial" w:eastAsia="Times New Roman" w:hAnsi="Arial" w:cs="Arial"/>
          <w:color w:val="000000"/>
          <w:sz w:val="20"/>
          <w:szCs w:val="20"/>
        </w:rPr>
        <w:t>Ban kiểm soát đặc biệt xác nhận thông tin, số liệu tại Phụ lục (một phần hoặc toàn bộ) trên cơ sở thông tin, số liệu do tổ chức tín dụng báo cáo, chịu trách nhiệm và theo phạm vi thông tin, số liệu mà Ban kiểm soát đặc biệt thu thập được.</w:t>
      </w:r>
    </w:p>
    <w:p w:rsidR="00C05DF7" w:rsidRDefault="00C05DF7">
      <w:bookmarkStart w:id="2" w:name="_GoBack"/>
      <w:bookmarkEnd w:id="2"/>
    </w:p>
    <w:sectPr w:rsidR="00C05D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92"/>
    <w:rsid w:val="000E2492"/>
    <w:rsid w:val="00C0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42CE3-020A-40AC-9AC3-CCD4CE38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4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2024-09-23T07:15:00Z</dcterms:created>
  <dcterms:modified xsi:type="dcterms:W3CDTF">2024-09-23T07:16:00Z</dcterms:modified>
</cp:coreProperties>
</file>