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28" w:type="dxa"/>
          <w:start w:w="0" w:type="dxa"/>
          <w:bottom w:w="28" w:type="dxa"/>
          <w:end w:w="108" w:type="dxa"/>
        </w:tblCellMar>
      </w:tblPr>
      <w:tblGrid>
        <w:gridCol w:w="5883"/>
        <w:gridCol w:w="4088"/>
      </w:tblGrid>
      <w:tr>
        <w:trPr/>
        <w:tc>
          <w:tcPr>
            <w:tcW w:w="5883" w:type="dxa"/>
            <w:tcBorders>
              <w:top w:val="single" w:sz="8" w:space="0" w:color="000000"/>
              <w:bottom w:val="single" w:sz="8" w:space="0" w:color="000000"/>
              <w:end w:val="single" w:sz="8" w:space="0" w:color="000000"/>
            </w:tcBorders>
          </w:tcPr>
          <w:p>
            <w:pPr>
              <w:pStyle w:val="TableContents"/>
              <w:pBdr/>
              <w:bidi w:val="0"/>
              <w:spacing w:lineRule="atLeast" w:line="225" w:before="0" w:after="0"/>
              <w:ind w:hanging="0" w:start="0" w:end="0"/>
              <w:jc w:val="center"/>
              <w:rPr>
                <w:rFonts w:ascii="Times New Roman" w:hAnsi="Times New Roman"/>
                <w:sz w:val="24"/>
                <w:szCs w:val="24"/>
              </w:rPr>
            </w:pPr>
            <w:bookmarkStart w:id="0" w:name="chuong_pl_38"/>
            <w:bookmarkEnd w:id="0"/>
            <w:r>
              <w:rPr>
                <w:rFonts w:ascii="Times New Roman" w:hAnsi="Times New Roman"/>
                <w:strike w:val="false"/>
                <w:dstrike w:val="false"/>
                <w:color w:val="000000"/>
                <w:sz w:val="24"/>
                <w:szCs w:val="24"/>
                <w:u w:val="none"/>
                <w:effect w:val="none"/>
                <w:lang w:val="en-GB"/>
              </w:rPr>
              <w:t>Mẫu số:</w:t>
            </w:r>
            <w:r>
              <w:rPr>
                <w:rFonts w:ascii="Times New Roman" w:hAnsi="Times New Roman"/>
                <w:sz w:val="24"/>
                <w:szCs w:val="24"/>
              </w:rPr>
              <w:t> </w:t>
            </w:r>
            <w:bookmarkStart w:id="1" w:name="chuong_pl_38_name"/>
            <w:bookmarkEnd w:id="1"/>
            <w:r>
              <w:rPr>
                <w:rFonts w:ascii="Times New Roman" w:hAnsi="Times New Roman"/>
                <w:b/>
                <w:strike w:val="false"/>
                <w:dstrike w:val="false"/>
                <w:color w:val="000000"/>
                <w:sz w:val="24"/>
                <w:szCs w:val="24"/>
                <w:u w:val="none"/>
                <w:effect w:val="none"/>
                <w:lang w:val="en-GB"/>
              </w:rPr>
              <w:t>17/TB-ĐKT</w:t>
            </w:r>
            <w:r>
              <w:rPr>
                <w:rFonts w:ascii="Times New Roman" w:hAnsi="Times New Roman"/>
                <w:sz w:val="24"/>
                <w:szCs w:val="24"/>
                <w:lang w:val="en-GB"/>
              </w:rPr>
              <w:br/>
            </w:r>
            <w:r>
              <w:rPr>
                <w:rFonts w:ascii="Times New Roman" w:hAnsi="Times New Roman"/>
                <w:i/>
                <w:sz w:val="24"/>
                <w:szCs w:val="24"/>
                <w:lang w:val="en-GB"/>
              </w:rPr>
              <w:t>(Kèm theo Thông tư số 90/2026/TT-BTC ngày 30 tháng 6 năm 2026 của Bộ trưởng Bộ Tài chính)</w:t>
            </w:r>
          </w:p>
        </w:tc>
        <w:tc>
          <w:tcPr>
            <w:tcW w:w="4088" w:type="dxa"/>
            <w:tcBorders/>
            <w:tcMar>
              <w:top w:w="0" w:type="dxa"/>
              <w:bottom w:w="0" w:type="dxa"/>
              <w:end w:w="0" w:type="dxa"/>
            </w:tcMar>
          </w:tcPr>
          <w:p>
            <w:pPr>
              <w:pStyle w:val="TableContents"/>
              <w:bidi w:val="0"/>
              <w:jc w:val="start"/>
              <w:rPr>
                <w:rFonts w:ascii="Times New Roman" w:hAnsi="Times New Roman"/>
                <w:sz w:val="24"/>
                <w:szCs w:val="24"/>
              </w:rPr>
            </w:pPr>
            <w:r>
              <w:rPr>
                <w:rFonts w:ascii="Times New Roman" w:hAnsi="Times New Roman"/>
                <w:sz w:val="24"/>
                <w:szCs w:val="24"/>
              </w:rPr>
            </w:r>
          </w:p>
        </w:tc>
      </w:tr>
      <w:tr>
        <w:trPr/>
        <w:tc>
          <w:tcPr>
            <w:tcW w:w="5883" w:type="dxa"/>
            <w:tcBorders/>
            <w:tcMar>
              <w:top w:w="0" w:type="dxa"/>
              <w:bottom w:w="0" w:type="dxa"/>
              <w:end w:w="0" w:type="dxa"/>
            </w:tcMa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lang w:val="en-GB"/>
              </w:rPr>
              <w:t>CỤC TH</w:t>
            </w:r>
            <w:r>
              <w:rPr>
                <w:rFonts w:ascii="Times New Roman" w:hAnsi="Times New Roman"/>
                <w:sz w:val="24"/>
                <w:szCs w:val="24"/>
              </w:rPr>
              <w:t>U</w:t>
            </w:r>
            <w:r>
              <w:rPr>
                <w:rFonts w:ascii="Times New Roman" w:hAnsi="Times New Roman"/>
                <w:sz w:val="24"/>
                <w:szCs w:val="24"/>
                <w:lang w:val="en-GB"/>
              </w:rPr>
              <w:t>Ế/THUẾ TỈNH,TP...(1)</w:t>
            </w:r>
            <w:r>
              <w:rPr>
                <w:rFonts w:ascii="Times New Roman" w:hAnsi="Times New Roman"/>
                <w:sz w:val="24"/>
                <w:szCs w:val="24"/>
              </w:rPr>
              <w:br/>
            </w:r>
            <w:r>
              <w:rPr>
                <w:rFonts w:ascii="Times New Roman" w:hAnsi="Times New Roman"/>
                <w:b/>
                <w:sz w:val="24"/>
                <w:szCs w:val="24"/>
                <w:lang w:val="en-GB"/>
              </w:rPr>
              <w:t>THUẾ TỈNH,TP/ THUẾ CƠ SỞ....(2)</w:t>
              <w:br/>
              <w:t>-------</w:t>
            </w:r>
          </w:p>
        </w:tc>
        <w:tc>
          <w:tcPr>
            <w:tcW w:w="4088" w:type="dxa"/>
            <w:tcBorders/>
            <w:tcMar>
              <w:top w:w="0" w:type="dxa"/>
              <w:bottom w:w="0" w:type="dxa"/>
              <w:end w:w="0" w:type="dxa"/>
            </w:tcMar>
          </w:tcPr>
          <w:p>
            <w:pPr>
              <w:pStyle w:val="TableContents"/>
              <w:pBdr/>
              <w:bidi w:val="0"/>
              <w:spacing w:lineRule="atLeast" w:line="225" w:before="120" w:after="120"/>
              <w:ind w:hanging="0" w:start="0" w:end="0"/>
              <w:jc w:val="center"/>
              <w:rPr>
                <w:rFonts w:ascii="Times New Roman" w:hAnsi="Times New Roman"/>
                <w:b/>
                <w:sz w:val="24"/>
                <w:szCs w:val="24"/>
                <w:lang w:val="en-GB"/>
              </w:rPr>
            </w:pPr>
            <w:r>
              <w:rPr>
                <w:rFonts w:ascii="Times New Roman" w:hAnsi="Times New Roman"/>
                <w:b/>
                <w:sz w:val="24"/>
                <w:szCs w:val="24"/>
                <w:lang w:val="en-GB"/>
              </w:rPr>
              <w:t>CỘNG HÒA XÃ HỘI CHỦ NGHĨA VIỆT NAM</w:t>
              <w:br/>
              <w:t>Độc lập - Tự do - Hạnh phúc</w:t>
              <w:br/>
              <w:t>---------------</w:t>
            </w:r>
          </w:p>
        </w:tc>
      </w:tr>
      <w:tr>
        <w:trPr>
          <w:trHeight w:val="488" w:hRule="atLeast"/>
        </w:trPr>
        <w:tc>
          <w:tcPr>
            <w:tcW w:w="5883" w:type="dxa"/>
            <w:tcBorders/>
            <w:tcMar>
              <w:top w:w="0" w:type="dxa"/>
              <w:bottom w:w="0" w:type="dxa"/>
              <w:end w:w="0" w:type="dxa"/>
            </w:tcMa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lang w:val="en-GB"/>
              </w:rPr>
              <w:t>Số:</w:t>
            </w:r>
            <w:r>
              <w:rPr>
                <w:rFonts w:ascii="Times New Roman" w:hAnsi="Times New Roman"/>
                <w:sz w:val="24"/>
                <w:szCs w:val="24"/>
              </w:rPr>
              <w:t>       </w:t>
            </w:r>
            <w:r>
              <w:rPr>
                <w:rFonts w:ascii="Times New Roman" w:hAnsi="Times New Roman"/>
                <w:sz w:val="24"/>
                <w:szCs w:val="24"/>
                <w:lang w:val="en-GB"/>
              </w:rPr>
              <w:t>/TB-....(3)</w:t>
            </w:r>
            <w:r>
              <w:rPr>
                <w:rFonts w:ascii="Times New Roman" w:hAnsi="Times New Roman"/>
                <w:sz w:val="24"/>
                <w:szCs w:val="24"/>
              </w:rPr>
              <w:t>….</w:t>
            </w:r>
          </w:p>
        </w:tc>
        <w:tc>
          <w:tcPr>
            <w:tcW w:w="4088" w:type="dxa"/>
            <w:tcBorders/>
            <w:tcMar>
              <w:top w:w="0" w:type="dxa"/>
              <w:bottom w:w="0" w:type="dxa"/>
              <w:end w:w="0" w:type="dxa"/>
            </w:tcMar>
          </w:tcPr>
          <w:p>
            <w:pPr>
              <w:pStyle w:val="TableContents"/>
              <w:pBdr/>
              <w:bidi w:val="0"/>
              <w:spacing w:lineRule="atLeast" w:line="225" w:before="120" w:after="120"/>
              <w:ind w:hanging="0" w:start="0" w:end="0"/>
              <w:jc w:val="end"/>
              <w:rPr>
                <w:rFonts w:ascii="Times New Roman" w:hAnsi="Times New Roman"/>
                <w:sz w:val="24"/>
                <w:szCs w:val="24"/>
              </w:rPr>
            </w:pPr>
            <w:r>
              <w:rPr>
                <w:rFonts w:ascii="Times New Roman" w:hAnsi="Times New Roman"/>
                <w:sz w:val="24"/>
                <w:szCs w:val="24"/>
              </w:rPr>
              <w:t>………</w:t>
            </w:r>
            <w:r>
              <w:rPr>
                <w:rFonts w:ascii="Times New Roman" w:hAnsi="Times New Roman"/>
                <w:i/>
                <w:sz w:val="24"/>
                <w:szCs w:val="24"/>
              </w:rPr>
              <w:t>, </w:t>
            </w:r>
            <w:r>
              <w:rPr>
                <w:rFonts w:ascii="Times New Roman" w:hAnsi="Times New Roman"/>
                <w:i/>
                <w:sz w:val="24"/>
                <w:szCs w:val="24"/>
                <w:lang w:val="en-GB"/>
              </w:rPr>
              <w:t>ngày ... tháng ... năm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en-GB"/>
        </w:rPr>
      </w:pPr>
      <w:bookmarkStart w:id="2" w:name="chuong_pl_38_name_name"/>
      <w:bookmarkEnd w:id="2"/>
      <w:r>
        <w:rPr>
          <w:rFonts w:ascii="Times New Roman" w:hAnsi="Times New Roman"/>
          <w:b/>
          <w:i w:val="false"/>
          <w:caps w:val="false"/>
          <w:smallCaps w:val="false"/>
          <w:strike w:val="false"/>
          <w:dstrike w:val="false"/>
          <w:color w:val="000000"/>
          <w:spacing w:val="0"/>
          <w:sz w:val="24"/>
          <w:szCs w:val="24"/>
          <w:u w:val="none"/>
          <w:effect w:val="none"/>
          <w:lang w:val="en-GB"/>
        </w:rPr>
        <w:t>THÔNG BÁO</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lang w:val="en-GB"/>
        </w:rPr>
      </w:pPr>
      <w:bookmarkStart w:id="3" w:name="chuong_pl_38_name_name_name"/>
      <w:bookmarkEnd w:id="3"/>
      <w:r>
        <w:rPr>
          <w:rFonts w:ascii="Times New Roman" w:hAnsi="Times New Roman"/>
          <w:b/>
          <w:i w:val="false"/>
          <w:caps w:val="false"/>
          <w:smallCaps w:val="false"/>
          <w:strike w:val="false"/>
          <w:dstrike w:val="false"/>
          <w:color w:val="000000"/>
          <w:spacing w:val="0"/>
          <w:sz w:val="24"/>
          <w:szCs w:val="24"/>
          <w:u w:val="none"/>
          <w:effect w:val="none"/>
          <w:lang w:val="en-GB"/>
        </w:rPr>
        <w:t>Về việc người nộp thuế ngừng hoạt động và đang làm thủ tục chấm dứt hiệu lực mã số thuế</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lang w:val="en-GB"/>
        </w:rPr>
        <w:t>Căn cứ </w:t>
      </w:r>
      <w:hyperlink r:id="rId2"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lang w:val="en-GB"/>
          </w:rPr>
          <w:t>Luật Quản lý thuế số 108/2025/QH15</w:t>
        </w:r>
      </w:hyperlink>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0" w:after="0"/>
        <w:ind w:hanging="0" w:start="0" w:end="0"/>
        <w:jc w:val="start"/>
        <w:rPr/>
      </w:pPr>
      <w:r>
        <w:rPr>
          <w:rFonts w:ascii="Times New Roman" w:hAnsi="Times New Roman"/>
          <w:b w:val="false"/>
          <w:i w:val="false"/>
          <w:caps w:val="false"/>
          <w:smallCaps w:val="false"/>
          <w:color w:val="000000"/>
          <w:spacing w:val="0"/>
          <w:sz w:val="24"/>
          <w:szCs w:val="24"/>
          <w:lang w:val="en-GB"/>
        </w:rPr>
        <w:t>Căn cứ Nghị định số </w:t>
      </w:r>
      <w:hyperlink r:id="rId3"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lang w:val="en-GB"/>
          </w:rPr>
          <w:t>252/2026/NĐ-CP</w:t>
        </w:r>
      </w:hyperlink>
      <w:r>
        <w:rPr>
          <w:rFonts w:ascii="Times New Roman" w:hAnsi="Times New Roman"/>
          <w:b w:val="false"/>
          <w:i w:val="false"/>
          <w:caps w:val="false"/>
          <w:smallCaps w:val="false"/>
          <w:color w:val="000000"/>
          <w:spacing w:val="0"/>
          <w:sz w:val="24"/>
          <w:szCs w:val="24"/>
          <w:lang w:val="en-GB"/>
        </w:rPr>
        <w:t> của Chính phủ quy định chi tiết một số điều và biện pháp để tổ chức, hướng dẫn thi hành </w:t>
      </w:r>
      <w:hyperlink r:id="rId4" w:tgtFrame="_blank">
        <w:r>
          <w:rPr>
            <w:rStyle w:val="Hyperlink"/>
            <w:rFonts w:ascii="Times New Roman" w:hAnsi="Times New Roman"/>
            <w:b w:val="false"/>
            <w:i w:val="false"/>
            <w:caps w:val="false"/>
            <w:smallCaps w:val="false"/>
            <w:strike w:val="false"/>
            <w:dstrike w:val="false"/>
            <w:color w:val="0E70C3"/>
            <w:spacing w:val="0"/>
            <w:sz w:val="24"/>
            <w:szCs w:val="24"/>
            <w:u w:val="none"/>
            <w:effect w:val="none"/>
            <w:lang w:val="en-GB"/>
          </w:rPr>
          <w:t>Luật Quản lý thuế</w:t>
        </w:r>
      </w:hyperlink>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Căn cứ Thông tư số 90/2026/TT-BTC của Bộ Tài chính quy định về đăng ký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Căn cứ hồ sơ chấm dứt hiệu lực mã số thuế của ...(4)... mã số thuế ...(5)... nộp ngày.../.../...., (6)... thông báo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Mã số thuế ...(5)... được cập nhật về trạng thái “NNT ngừng hoạt động nhưng chưa hoàn thành thủ tục chấm dứt hiệu lực mã số thuế” từ ngày ban hành Thông báo này để cơ quan thuế và người nộp thuế thực hiện các thủ tục chấm dứt hiệu lực mã số thuế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Kết quả phân loại hồ sơ</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GB"/>
        </w:rPr>
        <w:t>Hồ sơ không thuộc diện kiểm tra tại trụ sở người nộp thuế trước khi chấm dứt hiệu lực mã số thuế.</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xml:space="preserve">□ </w:t>
      </w:r>
      <w:r>
        <w:rPr>
          <w:rFonts w:ascii="Times New Roman" w:hAnsi="Times New Roman"/>
          <w:b w:val="false"/>
          <w:i w:val="false"/>
          <w:caps w:val="false"/>
          <w:smallCaps w:val="false"/>
          <w:color w:val="000000"/>
          <w:spacing w:val="0"/>
          <w:sz w:val="24"/>
          <w:szCs w:val="24"/>
          <w:lang w:val="en-GB"/>
        </w:rPr>
        <w:t>Hồ sơ thuộc diện kiểm tra tại trụ sở người nộp thuế trước khi chấm dứt hiệu lực mã số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Dự kiến thời gian thực hiện kiểm tra: từ ngày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đến ngày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&lt;hoặc tháng ... năm...&gt;</w:t>
      </w:r>
    </w:p>
    <w:p>
      <w:pPr>
        <w:pStyle w:val="BodyText"/>
        <w:widowControl/>
        <w:pBdr/>
        <w:bidi w:val="0"/>
        <w:spacing w:lineRule="atLeast" w:line="225" w:before="0" w:after="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3. Đề nghị người nộp thuế hoàn thành nghĩa vụ thuế, hóa đơn theo quy định của </w:t>
      </w:r>
      <w:bookmarkStart w:id="4" w:name="tc_199"/>
      <w:bookmarkEnd w:id="4"/>
      <w:r>
        <w:rPr>
          <w:rFonts w:ascii="Times New Roman" w:hAnsi="Times New Roman"/>
          <w:b w:val="false"/>
          <w:i w:val="false"/>
          <w:caps w:val="false"/>
          <w:smallCaps w:val="false"/>
          <w:strike w:val="false"/>
          <w:dstrike w:val="false"/>
          <w:color w:val="0000FF"/>
          <w:spacing w:val="0"/>
          <w:sz w:val="24"/>
          <w:szCs w:val="24"/>
          <w:u w:val="none"/>
          <w:effect w:val="none"/>
          <w:lang w:val="en-GB"/>
        </w:rPr>
        <w:t>Điều 14, Điều 28 Thông tư số 90/2026/TT-BTC</w:t>
      </w:r>
      <w:r>
        <w:rPr>
          <w:rFonts w:ascii="Times New Roman" w:hAnsi="Times New Roman"/>
          <w:b w:val="false"/>
          <w:i w:val="false"/>
          <w:caps w:val="false"/>
          <w:smallCaps w:val="false"/>
          <w:color w:val="000000"/>
          <w:spacing w:val="0"/>
          <w:sz w:val="24"/>
          <w:szCs w:val="24"/>
          <w:lang w:val="en-GB"/>
        </w:rPr>
        <w:t> để thực hiện chấm dứt hiệu lực mã số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Nếu có vướng mắc, xin vui lòng liên hệ với cơ quan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........(6)............. (7)</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Địa chỉ: </w:t>
      </w:r>
      <w:r>
        <w:rPr>
          <w:rFonts w:ascii="Times New Roman" w:hAnsi="Times New Roman"/>
          <w:b w:val="false"/>
          <w:i w:val="false"/>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lang w:val="en-GB"/>
        </w:rPr>
        <w:t>(8)</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Số điện thoại: </w:t>
      </w:r>
      <w:r>
        <w:rPr>
          <w:rFonts w:ascii="Times New Roman" w:hAnsi="Times New Roman"/>
          <w:b w:val="false"/>
          <w:i w:val="false"/>
          <w:caps w:val="false"/>
          <w:smallCaps w:val="false"/>
          <w:color w:val="000000"/>
          <w:spacing w:val="0"/>
          <w:sz w:val="24"/>
          <w:szCs w:val="24"/>
        </w:rPr>
        <w:t>                                                        </w:t>
      </w:r>
      <w:r>
        <w:rPr>
          <w:rFonts w:ascii="Times New Roman" w:hAnsi="Times New Roman"/>
          <w:b w:val="false"/>
          <w:i w:val="false"/>
          <w:caps w:val="false"/>
          <w:smallCaps w:val="false"/>
          <w:color w:val="000000"/>
          <w:spacing w:val="0"/>
          <w:sz w:val="24"/>
          <w:szCs w:val="24"/>
          <w:lang w:val="en-GB"/>
        </w:rPr>
        <w:t>Địa chỉ E-mail:</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Cơ quan thuế thông báo để ....(4).... được biết và thực hiện./.</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531"/>
        <w:gridCol w:w="5440"/>
      </w:tblGrid>
      <w:tr>
        <w:trPr/>
        <w:tc>
          <w:tcPr>
            <w:tcW w:w="4531"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b/>
                <w:i/>
                <w:sz w:val="24"/>
                <w:szCs w:val="24"/>
                <w:lang w:val="en-GB"/>
              </w:rPr>
              <w:br/>
              <w:t>Nơi nhận:</w:t>
              <w:br/>
            </w:r>
            <w:r>
              <w:rPr>
                <w:rFonts w:ascii="Times New Roman" w:hAnsi="Times New Roman"/>
                <w:sz w:val="24"/>
                <w:szCs w:val="24"/>
                <w:lang w:val="en-GB"/>
              </w:rPr>
              <w:t>- &lt;NNT&gt;;</w:t>
              <w:br/>
              <w:t>- &lt;Các bộ phận có liên quan: Kiểm tra, ...&gt;;</w:t>
              <w:br/>
              <w:t>- Lưu: VT, bộ phận ban hành TB.</w:t>
            </w:r>
          </w:p>
        </w:tc>
        <w:tc>
          <w:tcPr>
            <w:tcW w:w="5440"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QUYỀN HẠN, CHỨC VỤ CỦA NGƯỜI KÝ</w:t>
              <w:br/>
            </w:r>
            <w:r>
              <w:rPr>
                <w:rFonts w:ascii="Times New Roman" w:hAnsi="Times New Roman"/>
                <w:i/>
                <w:sz w:val="24"/>
                <w:szCs w:val="24"/>
                <w:lang w:val="en-GB"/>
              </w:rPr>
              <w:t>(K</w:t>
            </w:r>
            <w:r>
              <w:rPr>
                <w:rFonts w:ascii="Times New Roman" w:hAnsi="Times New Roman"/>
                <w:i/>
                <w:sz w:val="24"/>
                <w:szCs w:val="24"/>
              </w:rPr>
              <w:t>ý</w:t>
            </w:r>
            <w:r>
              <w:rPr>
                <w:rFonts w:ascii="Times New Roman" w:hAnsi="Times New Roman"/>
                <w:i/>
                <w:sz w:val="24"/>
                <w:szCs w:val="24"/>
                <w:lang w:val="en-GB"/>
              </w:rPr>
              <w:t>, ghi rõ họ tên và đóng dấu)</w:t>
              <w:br/>
            </w:r>
            <w:r>
              <w:rPr>
                <w:rFonts w:ascii="Times New Roman" w:hAnsi="Times New Roman"/>
                <w:b/>
                <w:sz w:val="24"/>
                <w:szCs w:val="24"/>
                <w:lang w:val="en-GB"/>
              </w:rPr>
              <w:t>Hoặc</w:t>
              <w:br/>
              <w:t>CƠ QUAN THUẾ</w:t>
            </w:r>
            <w:r>
              <w:rPr>
                <w:rFonts w:ascii="Times New Roman" w:hAnsi="Times New Roman"/>
                <w:b/>
                <w:sz w:val="24"/>
                <w:szCs w:val="24"/>
              </w:rPr>
              <w:br/>
            </w:r>
            <w:r>
              <w:rPr>
                <w:rFonts w:ascii="Times New Roman" w:hAnsi="Times New Roman"/>
                <w:i/>
                <w:sz w:val="24"/>
                <w:szCs w:val="24"/>
                <w:lang w:val="en-GB"/>
              </w:rPr>
              <w:t>(Chữ ký số của cơ quan thuế)</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(1): Tên cơ quan thuế cấp trên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(2): Tên cơ quan thuế cấp dưới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Thuế tỉnh, thành phố hoặc Thuế cơ sở hoặc Chi cục Thuế Thương mại đi</w:t>
      </w:r>
      <w:r>
        <w:rPr>
          <w:rFonts w:ascii="Times New Roman" w:hAnsi="Times New Roman"/>
          <w:b w:val="false"/>
          <w:i w:val="false"/>
          <w:caps w:val="false"/>
          <w:smallCaps w:val="false"/>
          <w:color w:val="000000"/>
          <w:spacing w:val="0"/>
          <w:sz w:val="24"/>
          <w:szCs w:val="24"/>
        </w:rPr>
        <w:t>ệ</w:t>
      </w:r>
      <w:r>
        <w:rPr>
          <w:rFonts w:ascii="Times New Roman" w:hAnsi="Times New Roman"/>
          <w:b w:val="false"/>
          <w:i w:val="false"/>
          <w:caps w:val="false"/>
          <w:smallCaps w:val="false"/>
          <w:color w:val="000000"/>
          <w:spacing w:val="0"/>
          <w:sz w:val="24"/>
          <w:szCs w:val="24"/>
          <w:lang w:val="en-GB"/>
        </w:rPr>
        <w:t>n tử hoặc Chi cục Thuế Doanh nghiệp lớn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(4): Tên người nộp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(5): Mã số doanh nghiệp/Mã số thuế của người nộp thuế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(6): Tên cơ quan thuế ban hành thông báo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(7): Bộ phận mà người nộp thuế có thể liên hệ</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(8): Ghi cụ thể địa chỉ cơ quan thuế ban hành Thông báo</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Thue-Phi-Le-Phi/Luat-Quan-ly-thue-2025-so-108-2025-QH15-675268.aspx" TargetMode="External"/><Relationship Id="rId3" Type="http://schemas.openxmlformats.org/officeDocument/2006/relationships/hyperlink" Target="https://thuvienphapluat.vn/van-ban/Thue-Phi-Le-Phi/Nghi-dinh-252-2026-ND-CP-huong-dan-Luat-Quan-ly-thue-713086.aspx" TargetMode="External"/><Relationship Id="rId4" Type="http://schemas.openxmlformats.org/officeDocument/2006/relationships/hyperlink" Target="https://thuvienphapluat.vn/van-ban/Thue-Phi-Le-Phi/Luat-Quan-ly-thue-2025-so-108-2025-QH15-675268.aspx"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Pages>
  <Words>491</Words>
  <Characters>1892</Characters>
  <CharactersWithSpaces>2415</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2026-07-31T11:15:07Z</dcterms:created>
  <dc:creator/>
  <dc:description/>
  <dc:language>en-US</dc:language>
  <cp:lastModifiedBy/>
  <dcterms:modified xsi:type="dcterms:W3CDTF">2026-07-31T11:15:37Z</dcterms:modified>
  <cp:revision>1</cp:revision>
  <dc:subject/>
  <dc:title/>
</cp:coreProperties>
</file>