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pPr>
      <w:bookmarkStart w:id="0" w:name="chuong_pl_1"/>
      <w:bookmarkEnd w:id="0"/>
      <w:r>
        <w:rPr>
          <w:rStyle w:val="Strong"/>
          <w:rFonts w:ascii="Times New Roman" w:hAnsi="Times New Roman"/>
          <w:b w:val="false"/>
          <w:i w:val="false"/>
          <w:caps w:val="false"/>
          <w:smallCaps w:val="false"/>
          <w:strike w:val="false"/>
          <w:dstrike w:val="false"/>
          <w:color w:val="000000"/>
          <w:spacing w:val="0"/>
          <w:sz w:val="24"/>
          <w:szCs w:val="24"/>
          <w:u w:val="none"/>
          <w:effect w:val="none"/>
        </w:rPr>
        <w:t>PHỤ LỤC I</w:t>
      </w:r>
    </w:p>
    <w:p>
      <w:pPr>
        <w:pStyle w:val="BodyText"/>
        <w:widowControl/>
        <w:pBdr/>
        <w:bidi w:val="0"/>
        <w:spacing w:lineRule="atLeast" w:line="225" w:before="0" w:after="0"/>
        <w:ind w:hanging="0" w:start="0" w:end="0"/>
        <w:jc w:val="center"/>
        <w:rPr/>
      </w:pPr>
      <w:bookmarkStart w:id="1" w:name="chuong_pl_1_name"/>
      <w:bookmarkEnd w:id="1"/>
      <w:r>
        <w:rPr>
          <w:rStyle w:val="Strong"/>
          <w:rFonts w:ascii="Times New Roman" w:hAnsi="Times New Roman"/>
          <w:b w:val="false"/>
          <w:i w:val="false"/>
          <w:caps w:val="false"/>
          <w:smallCaps w:val="false"/>
          <w:strike w:val="false"/>
          <w:dstrike w:val="false"/>
          <w:color w:val="000000"/>
          <w:spacing w:val="0"/>
          <w:sz w:val="24"/>
          <w:szCs w:val="24"/>
          <w:u w:val="none"/>
          <w:effect w:val="none"/>
        </w:rPr>
        <w:t>TIÊU CHÍ PHÂN LOẠI MỨC ĐỘ TUÂN THỦ PHÁP LUẬT THUẾ CỦA NGƯỜI NỘP THUẾ</w:t>
      </w:r>
      <w:r>
        <w:rPr>
          <w:rFonts w:ascii="Times New Roman" w:hAnsi="Times New Roman"/>
          <w:b/>
          <w:i w:val="false"/>
          <w:caps w:val="false"/>
          <w:smallCaps w:val="false"/>
          <w:color w:val="222222"/>
          <w:spacing w:val="0"/>
          <w:sz w:val="24"/>
          <w:szCs w:val="24"/>
        </w:rPr>
        <w:br/>
      </w:r>
      <w:r>
        <w:rPr>
          <w:rStyle w:val="Emphasis"/>
          <w:rFonts w:ascii="Times New Roman" w:hAnsi="Times New Roman"/>
          <w:b w:val="false"/>
          <w:i/>
          <w:iCs/>
          <w:caps w:val="false"/>
          <w:smallCaps w:val="false"/>
          <w:color w:val="000000"/>
          <w:spacing w:val="0"/>
          <w:sz w:val="24"/>
          <w:szCs w:val="24"/>
        </w:rPr>
        <w:t>(kèm theo Thông tư số 94/2026/TT-BTC ngày 01 tháng 7 năm 2026  của Bộ trưởng Bộ Tài chính)</w:t>
      </w:r>
    </w:p>
    <w:p>
      <w:pPr>
        <w:pStyle w:val="BodyText"/>
        <w:widowControl/>
        <w:pBdr/>
        <w:bidi w:val="0"/>
        <w:spacing w:lineRule="atLeast" w:line="225" w:before="0" w:after="0"/>
        <w:ind w:hanging="0" w:start="0" w:end="0"/>
        <w:jc w:val="center"/>
        <w:rPr>
          <w:rStyle w:val="Emphasis"/>
          <w:rFonts w:ascii="Times New Roman" w:hAnsi="Times New Roman"/>
          <w:b w:val="false"/>
          <w:i w:val="false"/>
          <w:caps w:val="false"/>
          <w:smallCaps w:val="false"/>
          <w:color w:val="000000"/>
          <w:spacing w:val="0"/>
          <w:sz w:val="24"/>
          <w:szCs w:val="24"/>
        </w:rPr>
      </w:pPr>
      <w:r>
        <w:rPr/>
      </w:r>
    </w:p>
    <w:tbl>
      <w:tblPr>
        <w:tblW w:w="5000" w:type="pct"/>
        <w:jc w:val="start"/>
        <w:tblInd w:w="-10" w:type="dxa"/>
        <w:tblLayout w:type="fixed"/>
        <w:tblCellMar>
          <w:top w:w="55" w:type="dxa"/>
          <w:start w:w="55" w:type="dxa"/>
          <w:bottom w:w="55" w:type="dxa"/>
          <w:end w:w="55" w:type="dxa"/>
        </w:tblCellMar>
      </w:tblPr>
      <w:tblGrid>
        <w:gridCol w:w="704"/>
        <w:gridCol w:w="2820"/>
        <w:gridCol w:w="6447"/>
      </w:tblGrid>
      <w:tr>
        <w:trPr/>
        <w:tc>
          <w:tcPr>
            <w:tcW w:w="704"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rStyle w:val="Strong"/>
                <w:rFonts w:ascii="Times New Roman" w:hAnsi="Times New Roman"/>
                <w:color w:val="000000"/>
                <w:sz w:val="24"/>
                <w:szCs w:val="24"/>
              </w:rPr>
              <w:t>STT</w:t>
            </w:r>
          </w:p>
        </w:tc>
        <w:tc>
          <w:tcPr>
            <w:tcW w:w="2820"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Strong"/>
                <w:rFonts w:ascii="Times New Roman" w:hAnsi="Times New Roman"/>
                <w:color w:val="000000"/>
                <w:sz w:val="24"/>
                <w:szCs w:val="24"/>
              </w:rPr>
              <w:t>Nhóm tiêu chí</w:t>
            </w:r>
          </w:p>
        </w:tc>
        <w:tc>
          <w:tcPr>
            <w:tcW w:w="6447"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Strong"/>
                <w:rFonts w:ascii="Times New Roman" w:hAnsi="Times New Roman"/>
                <w:color w:val="000000"/>
                <w:sz w:val="24"/>
                <w:szCs w:val="24"/>
              </w:rPr>
              <w:t>Tiêu chí</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rStyle w:val="Emphasis"/>
                <w:rFonts w:ascii="Times New Roman" w:hAnsi="Times New Roman"/>
                <w:color w:val="000000"/>
                <w:sz w:val="24"/>
                <w:szCs w:val="24"/>
              </w:rPr>
              <w:t>(1)</w:t>
            </w:r>
          </w:p>
        </w:tc>
        <w:tc>
          <w:tcPr>
            <w:tcW w:w="282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Emphasis"/>
                <w:rFonts w:ascii="Times New Roman" w:hAnsi="Times New Roman"/>
                <w:color w:val="000000"/>
                <w:sz w:val="24"/>
                <w:szCs w:val="24"/>
              </w:rPr>
              <w:t>(2)</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Emphasis"/>
                <w:rFonts w:ascii="Times New Roman" w:hAnsi="Times New Roman"/>
                <w:color w:val="000000"/>
                <w:sz w:val="24"/>
                <w:szCs w:val="24"/>
              </w:rPr>
              <w:t>(3)</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w:t>
            </w:r>
          </w:p>
        </w:tc>
        <w:tc>
          <w:tcPr>
            <w:tcW w:w="282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trạng hoạt động của người nộp thuế</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Trạng thái hoạt động</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tạm ngừng kinh doanh</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thay đổi địa điểm kinh doanh</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thay đổi địa điểm kinh doanh nhưng còn nợ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w:t>
            </w:r>
          </w:p>
        </w:tc>
        <w:tc>
          <w:tcPr>
            <w:tcW w:w="282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của người đại diện theo pháp luật của người nộp thuế</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đại diện theo pháp luật của người nộp thuế đồng thời hoặc đã từng là người đại diện theo pháp luật của người nộp thuế thuộc danh sách rủi ro về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w:t>
            </w:r>
          </w:p>
        </w:tc>
        <w:tc>
          <w:tcPr>
            <w:tcW w:w="282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kê khai và nộp hồ sơ khai thuế</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Tỷ trọng số hồ sơ khai thuế đã nộp trên số hồ sơ khai thuế phải nộp</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Tỷ trọng số hồ sơ khai thuế nộp đúng hạn trên số hồ sơ khai thuế đã nộp</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có điều chỉnh, bổ sung hồ sơ khai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w:t>
            </w:r>
          </w:p>
        </w:tc>
        <w:tc>
          <w:tcPr>
            <w:tcW w:w="282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chấp hành nghĩa vụ thuế với ngân sách nhà nước</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đã nộp ngân sách nhà nước</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đã nộp ngân sách nhà nước</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w:t>
            </w:r>
          </w:p>
        </w:tc>
        <w:tc>
          <w:tcPr>
            <w:tcW w:w="282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sử dụng hóa đơn</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người nộp thuế bị xử phạt vi phạm về hóa đơn</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tiền người nộp thuế bị xử phạt vi phạm về hóa đơn</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có hành vi sử dụng hóa đơn không hợp pháp, sử dụng không hợp pháp hóa đơn</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xuất hóa đơn vượt ngưỡng an toàn</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w:t>
            </w:r>
          </w:p>
        </w:tc>
        <w:tc>
          <w:tcPr>
            <w:tcW w:w="282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Mức độ vi phạm hành chính về thuế</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lần người nộp thuế bị xử phạt vi phạm hành chính về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tiền người nộp thuế bị xử phạt vi phạm hành chính về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lần người nộp thuế bị cơ quan thuế xử lý vi phạm hành chính về hành vi không chấp hành quyết định kiểm tra, cưỡng chế thi hành quyết định hành chính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w:t>
            </w:r>
          </w:p>
        </w:tc>
        <w:tc>
          <w:tcPr>
            <w:tcW w:w="282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nợ thuế</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Tuổi nợ</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19</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Tần suất phát sinh nợ</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20</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thuế nợ</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21</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số thuế nợ</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22</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Tính chất khoản nợ</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23</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bị cưỡng chế thi hành quyết định hành chính về quản lý thuế và xử phạt vi phạm hành chính về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24</w:t>
            </w:r>
          </w:p>
        </w:tc>
        <w:tc>
          <w:tcPr>
            <w:tcW w:w="282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Hành vi phát tán tài sản</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25</w:t>
            </w:r>
          </w:p>
        </w:tc>
        <w:tc>
          <w:tcPr>
            <w:tcW w:w="282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Chỉ số hoạt động</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Chỉ số hoạt động của người nộp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26</w:t>
            </w:r>
          </w:p>
        </w:tc>
        <w:tc>
          <w:tcPr>
            <w:tcW w:w="282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tự nguyện đăng ký tuân thủ pháp luật thuế</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27</w:t>
            </w:r>
          </w:p>
        </w:tc>
        <w:tc>
          <w:tcPr>
            <w:tcW w:w="282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nghiệp có giao dịch liên kết, đáng ngờ</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Giao dịch qua ngân hàng, tổ chức tín dụng khác có dấu hiệu đáng ngờ</w:t>
            </w:r>
          </w:p>
        </w:tc>
      </w:tr>
      <w:tr>
        <w:trPr/>
        <w:tc>
          <w:tcPr>
            <w:tcW w:w="704"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28</w:t>
            </w:r>
          </w:p>
        </w:tc>
        <w:tc>
          <w:tcPr>
            <w:tcW w:w="282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Nhóm tiêu chí khác</w:t>
            </w:r>
          </w:p>
        </w:tc>
        <w:tc>
          <w:tcPr>
            <w:tcW w:w="6447"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Tiêu chí khác</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Pages>
  <Words>533</Words>
  <Characters>1801</Characters>
  <CharactersWithSpaces>2260</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2026-08-01T11:14:36Z</dcterms:created>
  <dc:creator/>
  <dc:description/>
  <dc:language>en-US</dc:language>
  <cp:lastModifiedBy/>
  <dcterms:modified xsi:type="dcterms:W3CDTF">2026-08-01T11:15:44Z</dcterms:modified>
  <cp:revision>1</cp:revision>
  <dc:subject/>
  <dc:title/>
</cp:coreProperties>
</file>