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pPr>
      <w:bookmarkStart w:id="0" w:name="chuong_pl_2"/>
      <w:bookmarkEnd w:id="0"/>
      <w:r>
        <w:rPr>
          <w:rStyle w:val="Strong"/>
          <w:rFonts w:ascii="Times New Roman" w:hAnsi="Times New Roman"/>
          <w:b/>
          <w:bCs/>
          <w:i w:val="false"/>
          <w:caps w:val="false"/>
          <w:smallCaps w:val="false"/>
          <w:strike w:val="false"/>
          <w:dstrike w:val="false"/>
          <w:color w:val="000000"/>
          <w:spacing w:val="0"/>
          <w:sz w:val="24"/>
          <w:szCs w:val="24"/>
          <w:u w:val="none"/>
          <w:effect w:val="none"/>
        </w:rPr>
        <w:t>PHỤ LỤC II</w:t>
      </w:r>
    </w:p>
    <w:p>
      <w:pPr>
        <w:pStyle w:val="BodyText"/>
        <w:widowControl/>
        <w:pBdr/>
        <w:bidi w:val="0"/>
        <w:spacing w:lineRule="atLeast" w:line="225" w:before="0" w:after="0"/>
        <w:ind w:hanging="0" w:start="0" w:end="0"/>
        <w:jc w:val="center"/>
        <w:rPr/>
      </w:pPr>
      <w:bookmarkStart w:id="1" w:name="chuong_pl_2_name"/>
      <w:bookmarkEnd w:id="1"/>
      <w:r>
        <w:rPr>
          <w:rStyle w:val="Strong"/>
          <w:rFonts w:ascii="Times New Roman" w:hAnsi="Times New Roman"/>
          <w:b/>
          <w:bCs/>
          <w:i w:val="false"/>
          <w:caps w:val="false"/>
          <w:smallCaps w:val="false"/>
          <w:strike w:val="false"/>
          <w:dstrike w:val="false"/>
          <w:color w:val="000000"/>
          <w:spacing w:val="0"/>
          <w:sz w:val="24"/>
          <w:szCs w:val="24"/>
          <w:u w:val="none"/>
          <w:effect w:val="none"/>
        </w:rPr>
        <w:t>TIÊU CHÍ PHÂN LOẠI MỨC ĐỘ RỦI RO ĐỐI VỚI NGƯỜI NỘP THUẾ LÀ TỔ CHỨC, HỘ GIA ĐÌNH, HỘ KINH DOANH, CÁ NHÂN KINH DOANH</w:t>
      </w:r>
    </w:p>
    <w:p>
      <w:pPr>
        <w:pStyle w:val="BodyText"/>
        <w:widowControl/>
        <w:pBdr/>
        <w:bidi w:val="0"/>
        <w:spacing w:lineRule="atLeast" w:line="225" w:before="0" w:after="0"/>
        <w:ind w:hanging="0" w:start="0" w:end="0"/>
        <w:jc w:val="center"/>
        <w:rPr/>
      </w:pPr>
      <w:r>
        <w:rPr>
          <w:rStyle w:val="Emphasis"/>
          <w:rFonts w:ascii="Times New Roman" w:hAnsi="Times New Roman"/>
          <w:b w:val="false"/>
          <w:i/>
          <w:iCs/>
          <w:caps w:val="false"/>
          <w:smallCaps w:val="false"/>
          <w:color w:val="000000"/>
          <w:spacing w:val="0"/>
          <w:sz w:val="24"/>
          <w:szCs w:val="24"/>
        </w:rPr>
        <w:t>(kèm theo Thông tư số 94/2026/TT-BTC ngày 01 tháng 7 năm 2026 của Bộ trưởng Bộ Tài chính)</w:t>
      </w:r>
    </w:p>
    <w:p>
      <w:pPr>
        <w:pStyle w:val="BodyText"/>
        <w:widowControl/>
        <w:pBdr/>
        <w:bidi w:val="0"/>
        <w:spacing w:lineRule="atLeast" w:line="225" w:before="0" w:after="0"/>
        <w:ind w:hanging="0" w:start="0" w:end="0"/>
        <w:jc w:val="center"/>
        <w:rPr>
          <w:rStyle w:val="Emphasis"/>
          <w:rFonts w:ascii="Times New Roman" w:hAnsi="Times New Roman"/>
          <w:b w:val="false"/>
          <w:i w:val="false"/>
          <w:caps w:val="false"/>
          <w:smallCaps w:val="false"/>
          <w:color w:val="000000"/>
          <w:spacing w:val="0"/>
          <w:sz w:val="24"/>
          <w:szCs w:val="24"/>
        </w:rPr>
      </w:pPr>
      <w:r>
        <w:rPr/>
      </w:r>
    </w:p>
    <w:tbl>
      <w:tblPr>
        <w:tblW w:w="5000" w:type="pct"/>
        <w:jc w:val="start"/>
        <w:tblInd w:w="-10" w:type="dxa"/>
        <w:tblLayout w:type="fixed"/>
        <w:tblCellMar>
          <w:top w:w="55" w:type="dxa"/>
          <w:start w:w="55" w:type="dxa"/>
          <w:bottom w:w="55" w:type="dxa"/>
          <w:end w:w="55" w:type="dxa"/>
        </w:tblCellMar>
      </w:tblPr>
      <w:tblGrid>
        <w:gridCol w:w="712"/>
        <w:gridCol w:w="2950"/>
        <w:gridCol w:w="2543"/>
        <w:gridCol w:w="3766"/>
      </w:tblGrid>
      <w:tr>
        <w:trPr/>
        <w:tc>
          <w:tcPr>
            <w:tcW w:w="712"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rStyle w:val="Strong"/>
                <w:rFonts w:ascii="Times New Roman" w:hAnsi="Times New Roman"/>
                <w:color w:val="000000"/>
                <w:sz w:val="24"/>
                <w:szCs w:val="24"/>
              </w:rPr>
              <w:t>STT</w:t>
            </w:r>
          </w:p>
        </w:tc>
        <w:tc>
          <w:tcPr>
            <w:tcW w:w="2950" w:type="dxa"/>
            <w:tcBorders>
              <w:top w:val="single" w:sz="8" w:space="0" w:color="000000"/>
              <w:bottom w:val="single" w:sz="8" w:space="0" w:color="000000"/>
              <w:end w:val="single" w:sz="8" w:space="0" w:color="000000"/>
            </w:tcBorders>
            <w:tcMar>
              <w:top w:w="28" w:type="dxa"/>
              <w:start w:w="0" w:type="dxa"/>
              <w:bottom w:w="28" w:type="dxa"/>
              <w:end w:w="28" w:type="dxa"/>
            </w:tcMar>
            <w:vAlign w:val="center"/>
          </w:tcPr>
          <w:p>
            <w:pPr>
              <w:pStyle w:val="TableContents"/>
              <w:pBdr/>
              <w:bidi w:val="0"/>
              <w:spacing w:lineRule="atLeast" w:line="225" w:before="120" w:after="120"/>
              <w:ind w:hanging="0" w:start="0" w:end="0"/>
              <w:jc w:val="center"/>
              <w:rPr/>
            </w:pPr>
            <w:r>
              <w:rPr>
                <w:rStyle w:val="Strong"/>
                <w:rFonts w:ascii="Times New Roman" w:hAnsi="Times New Roman"/>
                <w:color w:val="000000"/>
                <w:sz w:val="24"/>
                <w:szCs w:val="24"/>
              </w:rPr>
              <w:t>Nhóm tiêu chí</w:t>
            </w:r>
          </w:p>
        </w:tc>
        <w:tc>
          <w:tcPr>
            <w:tcW w:w="6309" w:type="dxa"/>
            <w:gridSpan w:val="2"/>
            <w:tcBorders>
              <w:top w:val="single" w:sz="8" w:space="0" w:color="000000"/>
              <w:bottom w:val="single" w:sz="8" w:space="0" w:color="000000"/>
              <w:end w:val="single" w:sz="8" w:space="0" w:color="000000"/>
            </w:tcBorders>
            <w:tcMar>
              <w:top w:w="28" w:type="dxa"/>
              <w:start w:w="0" w:type="dxa"/>
              <w:bottom w:w="28" w:type="dxa"/>
              <w:end w:w="28" w:type="dxa"/>
            </w:tcMar>
            <w:vAlign w:val="center"/>
          </w:tcPr>
          <w:p>
            <w:pPr>
              <w:pStyle w:val="TableContents"/>
              <w:pBdr/>
              <w:bidi w:val="0"/>
              <w:spacing w:lineRule="atLeast" w:line="225" w:before="120" w:after="120"/>
              <w:ind w:hanging="0" w:start="0" w:end="0"/>
              <w:jc w:val="center"/>
              <w:rPr/>
            </w:pPr>
            <w:r>
              <w:rPr>
                <w:rStyle w:val="Strong"/>
                <w:rFonts w:ascii="Times New Roman" w:hAnsi="Times New Roman"/>
                <w:color w:val="000000"/>
                <w:sz w:val="24"/>
                <w:szCs w:val="24"/>
              </w:rPr>
              <w:t>Tiêu chí</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rStyle w:val="Emphasis"/>
                <w:rFonts w:ascii="Times New Roman" w:hAnsi="Times New Roman"/>
                <w:color w:val="000000"/>
                <w:sz w:val="24"/>
                <w:szCs w:val="24"/>
              </w:rPr>
              <w:t>(1)</w:t>
            </w:r>
          </w:p>
        </w:tc>
        <w:tc>
          <w:tcPr>
            <w:tcW w:w="295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pPr>
            <w:r>
              <w:rPr>
                <w:rStyle w:val="Emphasis"/>
                <w:rFonts w:ascii="Times New Roman" w:hAnsi="Times New Roman"/>
                <w:color w:val="000000"/>
                <w:sz w:val="24"/>
                <w:szCs w:val="24"/>
              </w:rPr>
              <w:t>(2)</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center"/>
              <w:rPr/>
            </w:pPr>
            <w:r>
              <w:rPr>
                <w:rStyle w:val="Emphasis"/>
                <w:rFonts w:ascii="Times New Roman" w:hAnsi="Times New Roman"/>
                <w:color w:val="000000"/>
                <w:sz w:val="24"/>
                <w:szCs w:val="24"/>
              </w:rPr>
              <w:t>(3)</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Thông tin chung về người nộp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Thời gian thành lập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Thời gian hoạt động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Địa chỉ trụ sở đăng ký kinh doanh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Loại hình kinh tế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2543"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Ngành nghề kinh doanh</w:t>
            </w:r>
          </w:p>
        </w:tc>
        <w:tc>
          <w:tcPr>
            <w:tcW w:w="376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Ngành nghề đăng ký kinh doanh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2543"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376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Ngành nghề kinh doanh chính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2543"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vốn đăng ký</w:t>
            </w:r>
          </w:p>
        </w:tc>
        <w:tc>
          <w:tcPr>
            <w:tcW w:w="376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Vốn điều lệ</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2543"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3766"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Vốn chủ sở hữu</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Mức độ tương xứng giữa nhân viên với tính chất, quy mô người nộp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Thông tin về kế toán trưởng của người nộp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w:t>
            </w:r>
          </w:p>
        </w:tc>
        <w:tc>
          <w:tcPr>
            <w:tcW w:w="295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nộp thuế tự nguyện đăng ký tuân thủ pháp luật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nộp thuế tự nguyện đăng ký tuân thủ pháp luật thuế, sẵn sàng kết nối, chia sẻ dữ liệu điện tử về sổ kế toán, hóa đơn, chứng từ và các tài liệu liên quan đến nghĩa vụ thuế với cơ quan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Thông tin của người đại diện theo pháp luật của người nộp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Mức độ vi phạm pháp luật thuế của người đại diện theo pháp luật</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Tính đầy đủ của thông tin người đại diện theo pháp luật</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Địa chỉ đăng ký thường trú, tạm trú của người đại diện theo pháp luật</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Thông tin doanh nghiệp, tổ chức, hộ kinh doanh mà cá nhân là người đại diện theo pháp luật</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Tuổi của người đại diện theo pháp luật</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Thông tin tham gia bảo hiểm xã hội của người đại diện theo pháp luật</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18</w:t>
            </w:r>
          </w:p>
        </w:tc>
        <w:tc>
          <w:tcPr>
            <w:tcW w:w="295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Thông tin về nhân thân các thành viên sáng lập, chủ sở hữu và người đại diện theo pháp luật của người nộp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Thông tin về nhân thân các thành viên sáng lập, chủ sở hữu và người đại diện theo pháp luật của người nộp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19</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Tình trạng hoạt động của người nộp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Trạng thái hoạt động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tạm ngừng kinh doanh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Thời gian tạm ngừng kinh doanh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thay đổi địa điểm kinh doanh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thay đổi địa điểm kinh doanh nhưng còn nợ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24</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Tình hình kê khai và nộp hồ sơ khai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Tỷ trọng số hồ sơ khai thuế đã nộp trên số hồ sơ khai thuế phải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Tỷ trọng số hồ sơ khai thuế nộp đúng hạn trên số hồ sơ khai thuế đã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nộp thuế có điều chỉnh, bổ sung hồ sơ khai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Tất cả các chỉ tiêu trên hồ sơ khai thuế bằng 0</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28</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Báo cáo tài chính được kiểm toán</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Ý kiến của kiểm toán báo cáo tài chính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29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Tình hình nộp báo cáo tài chính được kiểm toán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30</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Doanh thu bán hàng hóa, cung cấp dịch vụ</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doanh thu bán hàng hóa, cung cấp dịch vụ</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doanh thu bán hàng hóa, cung cấp dịch vụ</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Doanh thu thuần bán hàng hóa, cung cấp dịch vụ</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doanh thu thuần bán hàng hóa, cung cấp dịch vụ</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Doanh thu hàng hóa, dịch vụ bán ra chịu thuế suất thuế giá trị gia tăng 0%</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doanh thu hàng hóa, dịch vụ bán ra chịu thuế suất thuế giá trị gia tăng 0%</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Doanh thu hàng hóa, dịch vụ bán ra không chịu thuế giá trị gia tăng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doanh thu hàng hóa, dịch vụ bán ra không chịu thuế giá trị gia tăng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Doanh thu hàng hóa, dịch vụ bán ra không tính thuế giá trị gia tăng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39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doanh thu hàng hóa, dịch vụ bán ra không tính thuế giá trị gia tăng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40</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Chi phí của người nộp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giá trị hàng hóa, dịch vụ mua vào</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của tổng giá trị hàng hóa dịch vụ mua vào</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chi phí</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tổng chi phí</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Chi phí bán hàng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chi phí bán hàng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Chi phí quản lý doanh nghiệp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chi phí quản lý doanh nghiệp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Chi phí lãi vay</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49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Biên độ chi phí lãi vay</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Giá vốn hàng bán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giá vốn hàng bán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Chi phí khác</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chi phí khác</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54</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Lợi nhuận của người nộp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lợi nhuận kế toán trước thuế thu nhập doanh nghiệp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tổng lợi nhuận kế toán trước thuế thu nhập doanh nghiệp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Lợi nhuận sau thuế thu nhập doanh nghiệp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lợi nhuận sau thuế thu nhập doanh nghiệp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Lợi nhuận thuần từ hoạt động sản xuất, kinh doanh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59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lợi nhuận thuần từ hoạt động sản xuất, kinh doanh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Lợi nhuận gộp từ bán hàng và cung cấp dịch vụ</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lợi nhuận gộp từ bán hàng và cung cấp dịch vụ</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lỗ</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kê khai lỗ</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nộp thuế lỗ liên tục nhưng vẫn mở rộng quy mô sản xuất, kinh doanh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65</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Tài sản của người nộp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Tài sản ngắn hạn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tài sản ngắn hạn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Tài sản dài hạn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tài sản dài hạn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69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Tài sản cố định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70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tài sản cố định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71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tài sản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72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tổng tài sản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73</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Khả năng thanh toán của người nộp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Nợ phải trả</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74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nợ phải trả</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75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Nợ ngắn hạn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76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nợ ngắn hạn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77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Nợ dài hạn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78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nợ dài hạn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79</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Các khoản mục tài chính trọng yếu của người nộp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Phải trả người bán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80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khoản phải trả người bán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81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mua trả tiền trước</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82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khoản người mua trả tiền trước</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83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Các khoản dự phòng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84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các khoản dự phòng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85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Vốn chủ sở hữu</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86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vốn chủ sở hữu</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87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Hàng tồn kho</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88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hàng tồn kho</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89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Các khoản mục tài chính trọng yếu khác của người nộp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90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các khoản mục tài chính trọng yếu khác của người nộp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91</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Tình hình chấp hành nghĩa vụ thuế với ngân sách nhà nước</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tiền phải nộp ngân sách nhà nước</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92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tiền phải nộp ngân sách nhà nước</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93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tiền đã nộp ngân sách nhà nước</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94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tiền đã nộp ngân sách nhà nước</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95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được miễn, giảm</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96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thuế được miễn, giảm</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97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được hoàn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98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thuế được hoàn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99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đề nghị hoàn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thuế đề nghị hoàn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thu hồi sau hoàn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thuế thu hồi sau hoàn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không được hoàn chuyển khấu trừ</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thuế không được hoàn chuyển khấu trừ</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đề nghị hoàn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Tỷ lệ số lần cơ quan thuế ban hành quyết định hoàn thuế /số lần đề nghị hoàn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Tỷ lệ số lần cơ quan thuế ban hành thông báo không hoàn thuế/số lần đề nghị hoàn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108</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giá trị gia tăng</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giá trị gia tăng của hàng hóa, dịch vụ bán ra</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109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thuế giá trị gia tăng của hàng hóa, dịch vụ bán ra</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giá trị gia tăng của hàng hóa, dịch vụ mua vào</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thuế giá trị gia tăng của hàng hóa, dịch vụ mua vào</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giá trị gia tăng phát sinh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thuế giá trị gia tăng phát sinh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giá trị gia tăng phải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thuế giá trị gia tăng phải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giá trị gia tăng còn được khấu trừ chuyển kỳ sau</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giá trị gia tăng đã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thuế giá trị gia tăng đã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119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giá trị gia tăng kê khai điều chỉnh tăng/giảm</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thuế giá trị gia tăng kê khai điều chỉnh tăng/giảm</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121</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thu nhập doanh nghiệp</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thu nhập doanh nghiệp phải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thuế thu nhập doanh nghiệp phải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thu nhập doanh nghiệp còn phải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thuế thu nhập doanh nghiệp còn phải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thu nhập doanh nghiệp được ưu đãi, miễn giảm</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thuế thu nhập doanh nghiệp được ưu đãi, miễn giảm</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thu nhập doanh nghiệp đã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thuế thu nhập doanh nghiệp đã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129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Điều chỉnh giảm tổng lợi nhuận trước thuế thu nhập doanh nghiệp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điều chỉnh giảm tổng lợi nhuận trước thuế thu nhập doanh nghiệp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Việc trích lập, sử dụng quỹ khoa học và công nghệ</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132</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tiêu thụ đặc biệt</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tiêu thụ đặc biệt phải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thuế tiêu thụ đặc biệt phải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tiêu thụ đặc biệt được khấu trừ</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thuế tiêu thụ đặc biệt được khấu trừ</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tiêu thụ đặc biệt đã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số thuế tiêu thụ đặc biệt đã nộp</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lượng nguyên liệu trên một đơn vị sản phẩm tiêu thụ</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139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Chênh lệch không được khấu trừ giữa số thuế tiêu thụ đặc biệt đã nộp ở khâu nhập khẩu với số thuế tiêu thụ đặc biệt bán ra trong nước</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140</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Thuế thu nhập cá nhân</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người lao động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cá nhân đã khấu trừ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cá nhân giảm trừ gia cảnh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thu nhập chịu thuế trả cho cá nhân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tổng thu nhập chịu thuế trả cho cá nhân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thu nhập chịu thuế trả cho cá nhân thuộc diện khấu trừ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tổng thu nhập chịu thuế trả cho cá nhân thuộc diện khấu trừ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thuế thu nhập cá nhân đã khấu trừ</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Tổng số thuế thu nhập cá nhân đã khấu trừ</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149</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Các khoản thu liên quan đến đất đai, tài sản gắn liền với đất</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Thửa đất, tài sản gắn liền với đất được chuyển nhượng nhiều lần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Có sự sai lệch giữa thông tin người nộp thuế kê khai và thông tin cơ quan thuế thu thập được</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Hồ sơ xác định nghĩa vụ tài chính do cơ quan nhà nước có thẩm quyền chuyển đến hoặc cơ quan nhà nước có thẩm quyền xác nhận không đầy đủ thành phần, thông tin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Hồ sơ xác định nghĩa vụ tài chính, hồ sơ khai thuế có số thuế miễn giảm, các khoản giảm trừ hoặc số thuế đề nghị miễn giảm</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Hồ sơ khai tiền thuê đất, thuê mặt nước chưa có quyết định, hợp đồng cho thuê đất</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154</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Tình hình nợ thuế của người nộp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Tuổi nợ</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Tần suất phát sinh nợ</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thuế nợ</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Biến động tổng số thuế nợ</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Tính chất khoản nợ</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159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bị cưỡng chế thi hành quyết định hành chính về quản lý thuế và xử phạt vi phạm hành chính về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Hành vi phát tán tài sản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161</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Mức độ vi phạm hành chính về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lần người nộp thuế bị xử phạt vi phạm hành chính về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tiền người nộp thuế bị xử phạt vi phạm hành chính về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Tổng số lần người nộp thuế bị cơ quan thuế xử lý vi phạm hành chính về hành vi không chấp hành quyết định kiểm tra thuế, cưỡng chế thi hành quyết định hành chính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164</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Tính chất, mức độ vi phạm phát hiện qua kiểm tra</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Kỳ đã được kiểm tra gần nhất</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165</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vi phạm pháp luật thuế phát hiện qua kiểm tra</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phải nộp điều chỉnh tăng, giảm; ấn định; giảm khấu trừ, giảm lỗ; số thuế được miễn, giảm cơ quan thuế phát hiện qua kiểm tra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thuế truy thu, số thuế không được hoàn, số thuế truy hoàn, ấn định, tiền phạt, tiền chậm nộp cơ quan thuế phát hiện qua kiểm tra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168</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Tình hình sử dụng hóa đơn</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lượng hóa đơn người nộp thuế sử dụng, thay thế, điều chỉnh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169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Giá trị hóa đơn người nộp thuế sử dụng, thay thế, điều chỉnh</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170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lần người nộp thuế bị xử phạt vi phạm về hóa đơn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171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Số tiền người nộp thuế bị xử phạt vi phạm về hóa đơn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172</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nộp thuế có hành vi sử dụng hóa đơn không hợp pháp, sử dụng không hợp pháp hóa đơn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173</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nộp thuế sử dụng hóa đơn của người nộp thuế trạng thái ngừng hoạt động nhưng chưa hoàn thành thủ tục chấm dứt hiệu lực mã số thuế; tạm ngừng hoạt động, kinh doanh; không hoạt động tại địa chỉ đã đăng ký; chờ xác minh tình trạng hoạt động tại địa chỉ đã đăng ký</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174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Người nộp thuế xuất hóa đơn bán hàng hóa, dịch vụ cho người nộp thuế trạng thái ngừng hoạt động nhưng chưa hoàn thành thủ tục chấm dứt hiệu lực mã số thuế; tạm ngừng hoạt động, kinh doanh; không hoạt động tại địa chỉ đã đăng ký; chờ xác minh tình trạng hoạt động tại địa chỉ đã đăng ký</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175</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Doanh nghiệp có giao dịch liên kết, đáng ngờ</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Phát sinh giao dịch chuyển nhượng vốn, liên doanh, liên kết</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176</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Chi phí lãi vay không được trừ đối với giao dịch liên kết</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177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Giao dịch qua ngân hàng, tổ chức tín dụng khác có dấu hiệu đáng ngờ</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178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Thông tin về doanh nghiệp, tổ chức, cá nhân kinh doanh, hộ kinh doanh, cá nhân có liên quan đến người nộp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179</w:t>
            </w:r>
          </w:p>
        </w:tc>
        <w:tc>
          <w:tcPr>
            <w:tcW w:w="295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 nhập từ kinh doanh qua mạng</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 nhập của hộ kinh doanh, cá nhân cư trú kinh doanh qua mạng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180</w:t>
            </w:r>
          </w:p>
        </w:tc>
        <w:tc>
          <w:tcPr>
            <w:tcW w:w="295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 nhập khác</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Thu nhập trả qua ví điện tử như Paypal, thu nhập từ các kênh như Google, Youtube...</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181</w:t>
            </w:r>
          </w:p>
        </w:tc>
        <w:tc>
          <w:tcPr>
            <w:tcW w:w="295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Kết quả đánh giá tuân thủ pháp luật thuế đối với người nộp thuế</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Mức độ tuân thủ pháp luật thuế của người nộp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182</w:t>
            </w:r>
          </w:p>
        </w:tc>
        <w:tc>
          <w:tcPr>
            <w:tcW w:w="295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Kết quả đánh giá tuân thủ pháp luật, phân loại rủi ro người nộp thuế của các cơ quan liên quan</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Kết quả đánh giá tuân thủ pháp luật về hải quan, kế toán, thống kê tài chính doanh nghiệp và phân loại rủi ro người nộp thuế của cơ quan nhà nước có thẩm quyền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183</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Dấu hiệu rủi ro theo từng thời kỳ</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Mục tiêu, yêu cầu của quản lý thuế trong từng thời kỳ</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184</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Lựa chọn ngẫu nhiên theo yêu cầu quản lý trong từng thời kỳ</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185</w:t>
            </w:r>
          </w:p>
        </w:tc>
        <w:tc>
          <w:tcPr>
            <w:tcW w:w="2950" w:type="dxa"/>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Các dấu hiệu rủi ro theo luật định</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Dấu hiệu rủi ro của người nộp thuế được quy định tại các chính sách thuế và chính sách liên quan khác</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186</w:t>
            </w:r>
          </w:p>
        </w:tc>
        <w:tc>
          <w:tcPr>
            <w:tcW w:w="2950" w:type="dxa"/>
            <w:vMerge w:val="restart"/>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Chỉ tiêu đánh giá khác</w:t>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Việc chấp hành pháp luật thuế, pháp luật về hải quan, kế toán, thống kê, tài chính và các lĩnh vực khác có liên quan</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187</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Thông tin về đầu tư, xuất khẩu, nhập khẩu hàng hóa dịch vụ</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188</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Dấu hiệu rủi ro, dấu hiệu vi phạm pháp luật thuế khác</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189</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Tình hình chi trả cổ tức cho cổ đông</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190</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Mặt hàng kinh doanh của người nộp thuế</w:t>
            </w:r>
          </w:p>
        </w:tc>
      </w:tr>
      <w:tr>
        <w:trPr/>
        <w:tc>
          <w:tcPr>
            <w:tcW w:w="712" w:type="dxa"/>
            <w:tcBorders>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color w:val="000000"/>
                <w:sz w:val="24"/>
                <w:szCs w:val="24"/>
              </w:rPr>
            </w:pPr>
            <w:r>
              <w:rPr>
                <w:rFonts w:ascii="Times New Roman" w:hAnsi="Times New Roman"/>
                <w:color w:val="000000"/>
                <w:sz w:val="24"/>
                <w:szCs w:val="24"/>
              </w:rPr>
              <w:t>191</w:t>
            </w:r>
          </w:p>
        </w:tc>
        <w:tc>
          <w:tcPr>
            <w:tcW w:w="2950" w:type="dxa"/>
            <w:vMerge w:val="continue"/>
            <w:tcBorders>
              <w:bottom w:val="single" w:sz="8" w:space="0" w:color="000000"/>
              <w:end w:val="single" w:sz="8" w:space="0" w:color="000000"/>
            </w:tcBorders>
            <w:tcMar>
              <w:top w:w="0" w:type="dxa"/>
              <w:start w:w="0" w:type="dxa"/>
              <w:bottom w:w="28"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6309" w:type="dxa"/>
            <w:gridSpan w:val="2"/>
            <w:tcBorders>
              <w:bottom w:val="single" w:sz="8" w:space="0" w:color="000000"/>
              <w:end w:val="single" w:sz="8" w:space="0" w:color="000000"/>
            </w:tcBorders>
            <w:tcMar>
              <w:top w:w="0" w:type="dxa"/>
              <w:start w:w="0" w:type="dxa"/>
              <w:bottom w:w="28" w:type="dxa"/>
              <w:end w:w="28" w:type="dxa"/>
            </w:tcMar>
            <w:vAlign w:val="center"/>
          </w:tcPr>
          <w:p>
            <w:pPr>
              <w:pStyle w:val="TableContents"/>
              <w:pBdr/>
              <w:bidi w:val="0"/>
              <w:spacing w:lineRule="atLeast" w:line="225" w:before="120" w:after="120"/>
              <w:ind w:hanging="0" w:start="0" w:end="0"/>
              <w:jc w:val="start"/>
              <w:rPr>
                <w:rFonts w:ascii="Times New Roman" w:hAnsi="Times New Roman"/>
                <w:color w:val="000000"/>
                <w:sz w:val="24"/>
                <w:szCs w:val="24"/>
              </w:rPr>
            </w:pPr>
            <w:r>
              <w:rPr>
                <w:rFonts w:ascii="Times New Roman" w:hAnsi="Times New Roman"/>
                <w:color w:val="000000"/>
                <w:sz w:val="24"/>
                <w:szCs w:val="24"/>
              </w:rPr>
              <w:t>Các tiêu chí đánh giá khác</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11</Pages>
  <Words>2684</Words>
  <Characters>9377</Characters>
  <CharactersWithSpaces>11637</CharactersWithSpaces>
  <Paragraphs>424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2026-08-01T11:38:54Z</dcterms:created>
  <dc:creator/>
  <dc:description/>
  <dc:language>en-US</dc:language>
  <cp:lastModifiedBy/>
  <dcterms:modified xsi:type="dcterms:W3CDTF">2026-08-01T11:40:05Z</dcterms:modified>
  <cp:revision>1</cp:revision>
  <dc:subject/>
  <dc:title/>
</cp:coreProperties>
</file>