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5000" w:type="pct"/>
        <w:jc w:val="start"/>
        <w:tblInd w:w="-5" w:type="dxa"/>
        <w:tblLayout w:type="fixed"/>
        <w:tblCellMar>
          <w:top w:w="55" w:type="dxa"/>
          <w:start w:w="55" w:type="dxa"/>
          <w:bottom w:w="55" w:type="dxa"/>
          <w:end w:w="55" w:type="dxa"/>
        </w:tblCellMar>
      </w:tblPr>
      <w:tblGrid>
        <w:gridCol w:w="4292"/>
        <w:gridCol w:w="5680"/>
      </w:tblGrid>
      <w:tr>
        <w:trPr/>
        <w:tc>
          <w:tcPr>
            <w:tcW w:w="4292" w:type="dxa"/>
            <w:tcBorders>
              <w:top w:val="single" w:sz="4" w:space="0" w:color="FFFFFF"/>
              <w:start w:val="single" w:sz="4" w:space="0" w:color="FFFFFF"/>
              <w:bottom w:val="single" w:sz="4" w:space="0" w:color="FFFFFF"/>
            </w:tcBorders>
          </w:tcPr>
          <w:p>
            <w:pPr>
              <w:pStyle w:val="BodyText"/>
              <w:bidi w:val="0"/>
              <w:jc w:val="center"/>
              <w:rPr>
                <w:rFonts w:ascii="Times New Roman" w:hAnsi="Times New Roman"/>
                <w:b/>
                <w:bCs/>
                <w:sz w:val="26"/>
                <w:szCs w:val="26"/>
              </w:rPr>
            </w:pPr>
            <w:r>
              <w:rPr>
                <w:rFonts w:ascii="Times New Roman" w:hAnsi="Times New Roman"/>
                <w:b/>
                <w:bCs/>
                <w:sz w:val="26"/>
                <w:szCs w:val="26"/>
              </w:rPr>
              <w:t>CÔNG TY ...</w:t>
            </w:r>
          </w:p>
          <w:p>
            <w:pPr>
              <w:pStyle w:val="BodyText"/>
              <w:bidi w:val="0"/>
              <w:spacing w:before="0" w:after="140"/>
              <w:jc w:val="center"/>
              <w:rPr>
                <w:rFonts w:ascii="Times New Roman" w:hAnsi="Times New Roman"/>
                <w:b/>
                <w:bCs/>
                <w:sz w:val="26"/>
                <w:szCs w:val="26"/>
              </w:rPr>
            </w:pPr>
            <w:r>
              <w:rPr>
                <w:rFonts w:ascii="Times New Roman" w:hAnsi="Times New Roman"/>
                <w:b/>
                <w:bCs/>
                <w:sz w:val="26"/>
                <w:szCs w:val="26"/>
              </w:rPr>
              <w:t>Số: ....../QĐ-...</w:t>
            </w:r>
          </w:p>
        </w:tc>
        <w:tc>
          <w:tcPr>
            <w:tcW w:w="5680" w:type="dxa"/>
            <w:tcBorders>
              <w:top w:val="single" w:sz="4" w:space="0" w:color="FFFFFF"/>
              <w:start w:val="single" w:sz="4" w:space="0" w:color="FFFFFF"/>
              <w:bottom w:val="single" w:sz="4" w:space="0" w:color="FFFFFF"/>
              <w:end w:val="single" w:sz="4" w:space="0" w:color="FFFFFF"/>
            </w:tcBorders>
          </w:tcPr>
          <w:p>
            <w:pPr>
              <w:pStyle w:val="BodyText"/>
              <w:bidi w:val="0"/>
              <w:jc w:val="center"/>
              <w:rPr>
                <w:rFonts w:ascii="Times New Roman" w:hAnsi="Times New Roman"/>
                <w:b/>
                <w:sz w:val="26"/>
                <w:szCs w:val="26"/>
              </w:rPr>
            </w:pPr>
            <w:r>
              <w:rPr>
                <w:rFonts w:ascii="Times New Roman" w:hAnsi="Times New Roman"/>
                <w:b/>
                <w:sz w:val="26"/>
                <w:szCs w:val="26"/>
              </w:rPr>
              <w:t>CỘNG HÒA XÃ HỘI CHỦ NGHĨA VIỆT NAM</w:t>
            </w:r>
          </w:p>
          <w:p>
            <w:pPr>
              <w:pStyle w:val="BodyText"/>
              <w:bidi w:val="0"/>
              <w:spacing w:before="0" w:after="140"/>
              <w:jc w:val="center"/>
              <w:rPr>
                <w:rFonts w:ascii="Times New Roman" w:hAnsi="Times New Roman"/>
                <w:b/>
                <w:sz w:val="26"/>
                <w:szCs w:val="26"/>
              </w:rPr>
            </w:pPr>
            <w:r>
              <w:rPr>
                <w:rFonts w:ascii="Times New Roman" w:hAnsi="Times New Roman"/>
                <w:b/>
                <w:sz w:val="26"/>
                <w:szCs w:val="26"/>
              </w:rPr>
              <w:t>Độc lập - Tự do - Hạnh phúc</w:t>
            </w:r>
          </w:p>
        </w:tc>
      </w:tr>
    </w:tbl>
    <w:p>
      <w:pPr>
        <w:pStyle w:val="BodyText"/>
        <w:bidi w:val="0"/>
        <w:jc w:val="end"/>
        <w:rPr>
          <w:rFonts w:ascii="Times New Roman" w:hAnsi="Times New Roman"/>
          <w:sz w:val="26"/>
          <w:szCs w:val="26"/>
        </w:rPr>
      </w:pPr>
      <w:r>
        <w:rPr>
          <w:rFonts w:ascii="Times New Roman" w:hAnsi="Times New Roman"/>
          <w:i/>
          <w:sz w:val="26"/>
          <w:szCs w:val="26"/>
        </w:rPr>
        <w:t>......, ngày ... tháng ... năm 2026</w:t>
      </w:r>
    </w:p>
    <w:p>
      <w:pPr>
        <w:pStyle w:val="BodyText"/>
        <w:bidi w:val="0"/>
        <w:jc w:val="center"/>
        <w:rPr>
          <w:rFonts w:ascii="Times New Roman" w:hAnsi="Times New Roman"/>
          <w:b/>
          <w:sz w:val="30"/>
          <w:szCs w:val="30"/>
        </w:rPr>
      </w:pPr>
      <w:r>
        <w:rPr>
          <w:rFonts w:ascii="Times New Roman" w:hAnsi="Times New Roman"/>
          <w:b/>
          <w:sz w:val="30"/>
          <w:szCs w:val="30"/>
        </w:rPr>
      </w:r>
    </w:p>
    <w:p>
      <w:pPr>
        <w:pStyle w:val="BodyText"/>
        <w:bidi w:val="0"/>
        <w:jc w:val="center"/>
        <w:rPr>
          <w:rFonts w:ascii="Times New Roman" w:hAnsi="Times New Roman"/>
          <w:b/>
          <w:sz w:val="30"/>
          <w:szCs w:val="30"/>
        </w:rPr>
      </w:pPr>
      <w:r>
        <w:rPr>
          <w:rFonts w:ascii="Times New Roman" w:hAnsi="Times New Roman"/>
          <w:b/>
          <w:sz w:val="30"/>
          <w:szCs w:val="30"/>
        </w:rPr>
        <w:t>QUYẾT ĐỊNH</w:t>
      </w:r>
    </w:p>
    <w:p>
      <w:pPr>
        <w:pStyle w:val="BodyText"/>
        <w:bidi w:val="0"/>
        <w:jc w:val="center"/>
        <w:rPr>
          <w:rFonts w:ascii="Times New Roman" w:hAnsi="Times New Roman"/>
          <w:b/>
          <w:sz w:val="26"/>
          <w:szCs w:val="26"/>
        </w:rPr>
      </w:pPr>
      <w:r>
        <w:rPr>
          <w:rFonts w:ascii="Times New Roman" w:hAnsi="Times New Roman"/>
          <w:b/>
          <w:sz w:val="26"/>
          <w:szCs w:val="26"/>
        </w:rPr>
        <w:t>Về việc ban hành Nội quy phòng cháy và chữa cháy</w:t>
      </w:r>
    </w:p>
    <w:p>
      <w:pPr>
        <w:pStyle w:val="BodyText"/>
        <w:bidi w:val="0"/>
        <w:jc w:val="start"/>
        <w:rPr>
          <w:rFonts w:ascii="Times New Roman" w:hAnsi="Times New Roman"/>
          <w:i/>
          <w:iCs/>
          <w:sz w:val="26"/>
          <w:szCs w:val="26"/>
        </w:rPr>
      </w:pPr>
      <w:r>
        <w:rPr>
          <w:rFonts w:ascii="Times New Roman" w:hAnsi="Times New Roman"/>
          <w:b/>
          <w:i/>
          <w:iCs/>
          <w:sz w:val="26"/>
          <w:szCs w:val="26"/>
        </w:rPr>
        <w:t xml:space="preserve">- </w:t>
      </w:r>
      <w:r>
        <w:rPr>
          <w:rFonts w:ascii="Times New Roman" w:hAnsi="Times New Roman"/>
          <w:i/>
          <w:iCs/>
          <w:sz w:val="26"/>
          <w:szCs w:val="26"/>
        </w:rPr>
        <w:t>Căn cứ Luật Phòng cháy, chữa cháy và cứu nạn, cứu hộ 2024;</w:t>
      </w:r>
    </w:p>
    <w:p>
      <w:pPr>
        <w:pStyle w:val="BodyText"/>
        <w:bidi w:val="0"/>
        <w:jc w:val="start"/>
        <w:rPr>
          <w:rFonts w:ascii="Times New Roman" w:hAnsi="Times New Roman"/>
          <w:i/>
          <w:iCs/>
          <w:sz w:val="26"/>
          <w:szCs w:val="26"/>
        </w:rPr>
      </w:pPr>
      <w:r>
        <w:rPr>
          <w:rFonts w:ascii="Times New Roman" w:hAnsi="Times New Roman"/>
          <w:b/>
          <w:i/>
          <w:iCs/>
          <w:sz w:val="26"/>
          <w:szCs w:val="26"/>
        </w:rPr>
        <w:t xml:space="preserve">- </w:t>
      </w:r>
      <w:r>
        <w:rPr>
          <w:rFonts w:ascii="Times New Roman" w:hAnsi="Times New Roman"/>
          <w:i/>
          <w:iCs/>
          <w:sz w:val="26"/>
          <w:szCs w:val="26"/>
        </w:rPr>
        <w:t>Căn cứ Luật sửa đổi 10 Luật có liên quan đến an ninh, trật tự 2025;</w:t>
      </w:r>
    </w:p>
    <w:p>
      <w:pPr>
        <w:pStyle w:val="BodyText"/>
        <w:bidi w:val="0"/>
        <w:jc w:val="start"/>
        <w:rPr>
          <w:rFonts w:ascii="Times New Roman" w:hAnsi="Times New Roman"/>
          <w:i/>
          <w:iCs/>
          <w:sz w:val="26"/>
          <w:szCs w:val="26"/>
        </w:rPr>
      </w:pPr>
      <w:r>
        <w:rPr>
          <w:rFonts w:ascii="Times New Roman" w:hAnsi="Times New Roman"/>
          <w:i/>
          <w:iCs/>
          <w:sz w:val="26"/>
          <w:szCs w:val="26"/>
        </w:rPr>
        <w:t>- Căn cứ Nghị định số 105/2025/NĐ-CP của Chính phủ quy định chi tiết một số điều và biện pháp thi hành Luật Phòng cháy, chữa cháy và cứu nạn, cứu hộ</w:t>
      </w:r>
    </w:p>
    <w:p>
      <w:pPr>
        <w:pStyle w:val="BodyText"/>
        <w:bidi w:val="0"/>
        <w:jc w:val="start"/>
        <w:rPr>
          <w:rFonts w:ascii="Times New Roman" w:hAnsi="Times New Roman"/>
          <w:i/>
          <w:iCs/>
          <w:sz w:val="26"/>
          <w:szCs w:val="26"/>
        </w:rPr>
      </w:pPr>
      <w:r>
        <w:rPr>
          <w:rFonts w:ascii="Times New Roman" w:hAnsi="Times New Roman"/>
          <w:i/>
          <w:iCs/>
          <w:sz w:val="26"/>
          <w:szCs w:val="26"/>
        </w:rPr>
        <w:t>- Căn cứ Điều lệ tổ chức và hoạt động của Công ty ...;</w:t>
      </w:r>
    </w:p>
    <w:p>
      <w:pPr>
        <w:pStyle w:val="BodyText"/>
        <w:bidi w:val="0"/>
        <w:jc w:val="start"/>
        <w:rPr>
          <w:rFonts w:ascii="Times New Roman" w:hAnsi="Times New Roman"/>
          <w:i/>
          <w:iCs/>
          <w:sz w:val="26"/>
          <w:szCs w:val="26"/>
        </w:rPr>
      </w:pPr>
      <w:r>
        <w:rPr>
          <w:rFonts w:ascii="Times New Roman" w:hAnsi="Times New Roman"/>
          <w:i/>
          <w:iCs/>
          <w:sz w:val="26"/>
          <w:szCs w:val="26"/>
        </w:rPr>
        <w:t>- Xét yêu cầu công tác bảo đảm an toàn phòng cháy, chữa cháy và cứu nạn, cứu hộ tại Công ty.</w:t>
      </w:r>
    </w:p>
    <w:p>
      <w:pPr>
        <w:pStyle w:val="BodyText"/>
        <w:bidi w:val="0"/>
        <w:jc w:val="start"/>
        <w:rPr>
          <w:rFonts w:ascii="Times New Roman" w:hAnsi="Times New Roman"/>
          <w:i/>
          <w:iCs/>
          <w:sz w:val="26"/>
          <w:szCs w:val="26"/>
        </w:rPr>
      </w:pPr>
      <w:r>
        <w:rPr>
          <w:rFonts w:ascii="Times New Roman" w:hAnsi="Times New Roman"/>
          <w:i/>
          <w:iCs/>
          <w:sz w:val="26"/>
          <w:szCs w:val="26"/>
        </w:rPr>
      </w:r>
    </w:p>
    <w:p>
      <w:pPr>
        <w:pStyle w:val="BodyText"/>
        <w:bidi w:val="0"/>
        <w:jc w:val="center"/>
        <w:rPr>
          <w:rFonts w:ascii="Times New Roman" w:hAnsi="Times New Roman"/>
          <w:b/>
          <w:sz w:val="26"/>
          <w:szCs w:val="26"/>
        </w:rPr>
      </w:pPr>
      <w:r>
        <w:rPr>
          <w:rFonts w:ascii="Times New Roman" w:hAnsi="Times New Roman"/>
          <w:b/>
          <w:sz w:val="26"/>
          <w:szCs w:val="26"/>
        </w:rPr>
        <w:t>QUYẾT ĐỊNH:</w:t>
      </w:r>
    </w:p>
    <w:p>
      <w:pPr>
        <w:pStyle w:val="BodyText"/>
        <w:bidi w:val="0"/>
        <w:jc w:val="start"/>
        <w:rPr>
          <w:rFonts w:ascii="Times New Roman" w:hAnsi="Times New Roman"/>
          <w:sz w:val="26"/>
          <w:szCs w:val="26"/>
        </w:rPr>
      </w:pPr>
      <w:r>
        <w:rPr>
          <w:rFonts w:ascii="Times New Roman" w:hAnsi="Times New Roman"/>
          <w:b/>
          <w:sz w:val="26"/>
          <w:szCs w:val="26"/>
        </w:rPr>
        <w:t>Điều 1.</w:t>
      </w:r>
      <w:r>
        <w:rPr>
          <w:rFonts w:ascii="Times New Roman" w:hAnsi="Times New Roman"/>
          <w:sz w:val="26"/>
          <w:szCs w:val="26"/>
        </w:rPr>
        <w:t xml:space="preserve"> Ban hành kèm theo Quyết định này </w:t>
      </w:r>
      <w:r>
        <w:rPr>
          <w:rFonts w:ascii="Times New Roman" w:hAnsi="Times New Roman"/>
          <w:b/>
          <w:sz w:val="26"/>
          <w:szCs w:val="26"/>
        </w:rPr>
        <w:t>"Nội quy phòng cháy và chữa cháy"</w:t>
      </w:r>
      <w:r>
        <w:rPr>
          <w:rFonts w:ascii="Times New Roman" w:hAnsi="Times New Roman"/>
          <w:sz w:val="26"/>
          <w:szCs w:val="26"/>
        </w:rPr>
        <w:t xml:space="preserve"> áp dụng đối với toàn thể cán bộ, nhân viên, người lao động đang làm việc tại Công ty ... và tất cả các khách hàng, đối tác đến liên hệ công tác.</w:t>
      </w:r>
    </w:p>
    <w:p>
      <w:pPr>
        <w:pStyle w:val="BodyText"/>
        <w:bidi w:val="0"/>
        <w:jc w:val="start"/>
        <w:rPr>
          <w:rFonts w:ascii="Times New Roman" w:hAnsi="Times New Roman"/>
          <w:sz w:val="26"/>
          <w:szCs w:val="26"/>
        </w:rPr>
      </w:pPr>
      <w:r>
        <w:rPr>
          <w:rFonts w:ascii="Times New Roman" w:hAnsi="Times New Roman"/>
          <w:b/>
          <w:sz w:val="26"/>
          <w:szCs w:val="26"/>
        </w:rPr>
        <w:t>Điều 2.</w:t>
      </w:r>
      <w:r>
        <w:rPr>
          <w:rFonts w:ascii="Times New Roman" w:hAnsi="Times New Roman"/>
          <w:sz w:val="26"/>
          <w:szCs w:val="26"/>
        </w:rPr>
        <w:t xml:space="preserve"> Quyết định này có hiệu lực thi hành kể từ ngày ký. Các quy định trước đây trái với Quyết định này đều bãi bỏ.</w:t>
      </w:r>
    </w:p>
    <w:p>
      <w:pPr>
        <w:pStyle w:val="BodyText"/>
        <w:bidi w:val="0"/>
        <w:jc w:val="start"/>
        <w:rPr>
          <w:rFonts w:ascii="Times New Roman" w:hAnsi="Times New Roman"/>
          <w:sz w:val="26"/>
          <w:szCs w:val="26"/>
        </w:rPr>
      </w:pPr>
      <w:r>
        <w:rPr>
          <w:rFonts w:ascii="Times New Roman" w:hAnsi="Times New Roman"/>
          <w:b/>
          <w:sz w:val="26"/>
          <w:szCs w:val="26"/>
        </w:rPr>
        <w:t>Điều 3.</w:t>
      </w:r>
      <w:r>
        <w:rPr>
          <w:rFonts w:ascii="Times New Roman" w:hAnsi="Times New Roman"/>
          <w:sz w:val="26"/>
          <w:szCs w:val="26"/>
        </w:rPr>
        <w:t xml:space="preserve"> Các Trưởng bộ phận/Phòng ban, Đội PCCC cơ sở và toàn thể cán bộ, nhân viên, người lao động trong Công ty chịu trách nhiệm thi hành Quyết định này./.</w:t>
      </w:r>
    </w:p>
    <w:p>
      <w:pPr>
        <w:pStyle w:val="BodyText"/>
        <w:bidi w:val="0"/>
        <w:jc w:val="start"/>
        <w:rPr>
          <w:rFonts w:ascii="Times New Roman" w:hAnsi="Times New Roman"/>
          <w:sz w:val="26"/>
          <w:szCs w:val="26"/>
        </w:rPr>
      </w:pPr>
      <w:r>
        <w:rPr>
          <w:rFonts w:ascii="Times New Roman" w:hAnsi="Times New Roman"/>
          <w:sz w:val="26"/>
          <w:szCs w:val="26"/>
        </w:rPr>
      </w:r>
    </w:p>
    <w:tbl>
      <w:tblPr>
        <w:tblW w:w="5000" w:type="pct"/>
        <w:jc w:val="start"/>
        <w:tblInd w:w="-5" w:type="dxa"/>
        <w:tblLayout w:type="fixed"/>
        <w:tblCellMar>
          <w:top w:w="55" w:type="dxa"/>
          <w:start w:w="55" w:type="dxa"/>
          <w:bottom w:w="55" w:type="dxa"/>
          <w:end w:w="55" w:type="dxa"/>
        </w:tblCellMar>
      </w:tblPr>
      <w:tblGrid>
        <w:gridCol w:w="4986"/>
        <w:gridCol w:w="4986"/>
      </w:tblGrid>
      <w:tr>
        <w:trPr/>
        <w:tc>
          <w:tcPr>
            <w:tcW w:w="4986" w:type="dxa"/>
            <w:tcBorders>
              <w:top w:val="single" w:sz="4" w:space="0" w:color="FFFFFF"/>
              <w:start w:val="single" w:sz="4" w:space="0" w:color="FFFFFF"/>
              <w:bottom w:val="single" w:sz="4" w:space="0" w:color="FFFFFF"/>
            </w:tcBorders>
          </w:tcPr>
          <w:p>
            <w:pPr>
              <w:pStyle w:val="BodyText"/>
              <w:bidi w:val="0"/>
              <w:jc w:val="start"/>
              <w:rPr>
                <w:rFonts w:ascii="Times New Roman" w:hAnsi="Times New Roman"/>
                <w:i/>
                <w:sz w:val="26"/>
                <w:szCs w:val="26"/>
              </w:rPr>
            </w:pPr>
            <w:r>
              <w:rPr>
                <w:rFonts w:ascii="Times New Roman" w:hAnsi="Times New Roman"/>
                <w:i/>
                <w:sz w:val="26"/>
                <w:szCs w:val="26"/>
              </w:rPr>
              <w:t>Nơi nhận:</w:t>
            </w:r>
          </w:p>
          <w:p>
            <w:pPr>
              <w:pStyle w:val="BodyText"/>
              <w:bidi w:val="0"/>
              <w:jc w:val="start"/>
              <w:rPr>
                <w:rFonts w:ascii="Times New Roman" w:hAnsi="Times New Roman"/>
                <w:i/>
                <w:iCs/>
                <w:sz w:val="26"/>
                <w:szCs w:val="26"/>
              </w:rPr>
            </w:pPr>
            <w:r>
              <w:rPr>
                <w:rFonts w:ascii="Times New Roman" w:hAnsi="Times New Roman"/>
                <w:i/>
                <w:iCs/>
                <w:sz w:val="26"/>
                <w:szCs w:val="26"/>
              </w:rPr>
              <w:t>- Như Điều 3;</w:t>
            </w:r>
          </w:p>
          <w:p>
            <w:pPr>
              <w:pStyle w:val="BodyText"/>
              <w:bidi w:val="0"/>
              <w:jc w:val="start"/>
              <w:rPr>
                <w:rFonts w:ascii="Times New Roman" w:hAnsi="Times New Roman"/>
                <w:i/>
                <w:iCs/>
                <w:sz w:val="26"/>
                <w:szCs w:val="26"/>
              </w:rPr>
            </w:pPr>
            <w:r>
              <w:rPr>
                <w:rFonts w:ascii="Times New Roman" w:hAnsi="Times New Roman"/>
                <w:i/>
                <w:iCs/>
                <w:sz w:val="26"/>
                <w:szCs w:val="26"/>
              </w:rPr>
              <w:t>- Ban Giám đốc (để b/c);</w:t>
            </w:r>
          </w:p>
          <w:p>
            <w:pPr>
              <w:pStyle w:val="BodyText"/>
              <w:bidi w:val="0"/>
              <w:spacing w:before="0" w:after="140"/>
              <w:jc w:val="start"/>
              <w:rPr>
                <w:rFonts w:ascii="Times New Roman" w:hAnsi="Times New Roman"/>
                <w:i/>
                <w:iCs/>
                <w:sz w:val="26"/>
                <w:szCs w:val="26"/>
              </w:rPr>
            </w:pPr>
            <w:r>
              <w:rPr>
                <w:rFonts w:ascii="Times New Roman" w:hAnsi="Times New Roman"/>
                <w:i/>
                <w:iCs/>
                <w:sz w:val="26"/>
                <w:szCs w:val="26"/>
              </w:rPr>
              <w:t>- Lưu: VT, PCCC.</w:t>
            </w:r>
          </w:p>
        </w:tc>
        <w:tc>
          <w:tcPr>
            <w:tcW w:w="4986" w:type="dxa"/>
            <w:tcBorders>
              <w:top w:val="single" w:sz="4" w:space="0" w:color="FFFFFF"/>
              <w:start w:val="single" w:sz="4" w:space="0" w:color="FFFFFF"/>
              <w:bottom w:val="single" w:sz="4" w:space="0" w:color="FFFFFF"/>
              <w:end w:val="single" w:sz="4" w:space="0" w:color="FFFFFF"/>
            </w:tcBorders>
          </w:tcPr>
          <w:p>
            <w:pPr>
              <w:pStyle w:val="BodyText"/>
              <w:bidi w:val="0"/>
              <w:jc w:val="center"/>
              <w:rPr>
                <w:rFonts w:ascii="Times New Roman" w:hAnsi="Times New Roman"/>
                <w:b/>
                <w:sz w:val="26"/>
                <w:szCs w:val="26"/>
              </w:rPr>
            </w:pPr>
            <w:r>
              <w:rPr>
                <w:rFonts w:ascii="Times New Roman" w:hAnsi="Times New Roman"/>
                <w:b/>
                <w:sz w:val="26"/>
                <w:szCs w:val="26"/>
              </w:rPr>
              <w:t>GIÁM ĐỐC</w:t>
            </w:r>
          </w:p>
          <w:p>
            <w:pPr>
              <w:pStyle w:val="BodyText"/>
              <w:bidi w:val="0"/>
              <w:spacing w:before="0" w:after="140"/>
              <w:jc w:val="center"/>
              <w:rPr>
                <w:rFonts w:ascii="Times New Roman" w:hAnsi="Times New Roman"/>
                <w:i/>
                <w:sz w:val="26"/>
                <w:szCs w:val="26"/>
              </w:rPr>
            </w:pPr>
            <w:r>
              <w:rPr>
                <w:rFonts w:ascii="Times New Roman" w:hAnsi="Times New Roman"/>
                <w:i/>
                <w:sz w:val="26"/>
                <w:szCs w:val="26"/>
              </w:rPr>
              <w:t>(Ký, ghi rõ họ tên và đóng dấu)</w:t>
            </w:r>
          </w:p>
        </w:tc>
      </w:tr>
    </w:tbl>
    <w:p>
      <w:pPr>
        <w:pStyle w:val="BodyText"/>
        <w:bidi w:val="0"/>
        <w:jc w:val="start"/>
        <w:rPr>
          <w:rFonts w:ascii="Times New Roman" w:hAnsi="Times New Roman"/>
          <w:sz w:val="26"/>
          <w:szCs w:val="26"/>
        </w:rPr>
      </w:pPr>
      <w:r>
        <w:rPr>
          <w:rFonts w:ascii="Times New Roman" w:hAnsi="Times New Roman"/>
          <w:sz w:val="26"/>
          <w:szCs w:val="26"/>
        </w:rPr>
      </w:r>
    </w:p>
    <w:p>
      <w:pPr>
        <w:pStyle w:val="BodyText"/>
        <w:bidi w:val="0"/>
        <w:jc w:val="start"/>
        <w:rPr>
          <w:rFonts w:ascii="Times New Roman" w:hAnsi="Times New Roman"/>
          <w:sz w:val="26"/>
          <w:szCs w:val="26"/>
        </w:rPr>
      </w:pPr>
      <w:r>
        <w:rPr>
          <w:rFonts w:ascii="Times New Roman" w:hAnsi="Times New Roman"/>
          <w:sz w:val="26"/>
          <w:szCs w:val="26"/>
        </w:rPr>
      </w:r>
    </w:p>
    <w:p>
      <w:pPr>
        <w:pStyle w:val="BodyText"/>
        <w:bidi w:val="0"/>
        <w:jc w:val="start"/>
        <w:rPr>
          <w:rFonts w:ascii="Times New Roman" w:hAnsi="Times New Roman"/>
          <w:i/>
          <w:sz w:val="26"/>
          <w:szCs w:val="26"/>
        </w:rPr>
      </w:pPr>
      <w:r>
        <w:rPr>
          <w:rFonts w:ascii="Times New Roman" w:hAnsi="Times New Roman"/>
          <w:i/>
          <w:sz w:val="26"/>
          <w:szCs w:val="26"/>
        </w:rPr>
      </w:r>
    </w:p>
    <w:p>
      <w:pPr>
        <w:pStyle w:val="BodyText"/>
        <w:bidi w:val="0"/>
        <w:jc w:val="start"/>
        <w:rPr>
          <w:rFonts w:ascii="Times New Roman" w:hAnsi="Times New Roman"/>
          <w:b/>
          <w:sz w:val="26"/>
          <w:szCs w:val="26"/>
        </w:rPr>
      </w:pPr>
      <w:r>
        <w:rPr>
          <w:rFonts w:ascii="Times New Roman" w:hAnsi="Times New Roman"/>
          <w:b/>
          <w:sz w:val="26"/>
          <w:szCs w:val="26"/>
        </w:rPr>
      </w:r>
    </w:p>
    <w:p>
      <w:pPr>
        <w:pStyle w:val="BodyText"/>
        <w:bidi w:val="0"/>
        <w:jc w:val="start"/>
        <w:rPr>
          <w:rFonts w:ascii="Times New Roman" w:hAnsi="Times New Roman"/>
          <w:b/>
          <w:sz w:val="26"/>
          <w:szCs w:val="26"/>
        </w:rPr>
      </w:pPr>
      <w:r>
        <w:rPr>
          <w:rFonts w:ascii="Times New Roman" w:hAnsi="Times New Roman"/>
          <w:b/>
          <w:sz w:val="26"/>
          <w:szCs w:val="26"/>
        </w:rPr>
      </w:r>
    </w:p>
    <w:p>
      <w:pPr>
        <w:pStyle w:val="BodyText"/>
        <w:bidi w:val="0"/>
        <w:jc w:val="start"/>
        <w:rPr>
          <w:rFonts w:ascii="Times New Roman" w:hAnsi="Times New Roman"/>
          <w:b/>
          <w:sz w:val="26"/>
          <w:szCs w:val="26"/>
        </w:rPr>
      </w:pPr>
      <w:r>
        <w:rPr>
          <w:rFonts w:ascii="Times New Roman" w:hAnsi="Times New Roman"/>
          <w:b/>
          <w:sz w:val="26"/>
          <w:szCs w:val="26"/>
        </w:rPr>
      </w:r>
    </w:p>
    <w:p>
      <w:pPr>
        <w:pStyle w:val="BodyText"/>
        <w:bidi w:val="0"/>
        <w:jc w:val="center"/>
        <w:rPr>
          <w:rFonts w:ascii="Times New Roman" w:hAnsi="Times New Roman"/>
          <w:b/>
          <w:sz w:val="26"/>
          <w:szCs w:val="26"/>
        </w:rPr>
      </w:pPr>
      <w:r>
        <w:rPr>
          <w:rFonts w:ascii="Times New Roman" w:hAnsi="Times New Roman"/>
          <w:b/>
          <w:sz w:val="26"/>
          <w:szCs w:val="26"/>
        </w:rPr>
        <w:t>(ĐÍNH KÈM QUYẾT ĐỊNH SỐ ....../QĐ-[TÊN VIẾT TẮT])</w:t>
      </w:r>
    </w:p>
    <w:p>
      <w:pPr>
        <w:pStyle w:val="BodyText"/>
        <w:bidi w:val="0"/>
        <w:jc w:val="center"/>
        <w:rPr>
          <w:rFonts w:ascii="Times New Roman" w:hAnsi="Times New Roman"/>
          <w:b/>
          <w:sz w:val="26"/>
          <w:szCs w:val="26"/>
        </w:rPr>
      </w:pPr>
      <w:r>
        <w:rPr>
          <w:rFonts w:ascii="Times New Roman" w:hAnsi="Times New Roman"/>
          <w:b/>
          <w:sz w:val="26"/>
          <w:szCs w:val="26"/>
        </w:rPr>
        <w:t>NỘI QUY PHÒNG CHÁY VÀ CHỮA CHÁY</w:t>
      </w:r>
    </w:p>
    <w:p>
      <w:pPr>
        <w:pStyle w:val="BodyText"/>
        <w:bidi w:val="0"/>
        <w:jc w:val="start"/>
        <w:rPr>
          <w:rFonts w:ascii="Times New Roman" w:hAnsi="Times New Roman"/>
          <w:sz w:val="26"/>
          <w:szCs w:val="26"/>
        </w:rPr>
      </w:pPr>
      <w:r>
        <w:rPr>
          <w:rFonts w:ascii="Times New Roman" w:hAnsi="Times New Roman"/>
          <w:b/>
          <w:sz w:val="26"/>
          <w:szCs w:val="26"/>
        </w:rPr>
        <w:t>Điều 1. Phạm vi và đối tượng áp dụng:</w:t>
      </w:r>
    </w:p>
    <w:p>
      <w:pPr>
        <w:pStyle w:val="BodyText"/>
        <w:bidi w:val="0"/>
        <w:jc w:val="start"/>
        <w:rPr>
          <w:rFonts w:ascii="Times New Roman" w:hAnsi="Times New Roman"/>
          <w:sz w:val="26"/>
          <w:szCs w:val="26"/>
        </w:rPr>
      </w:pPr>
      <w:r>
        <w:rPr>
          <w:rFonts w:ascii="Times New Roman" w:hAnsi="Times New Roman"/>
          <w:sz w:val="26"/>
          <w:szCs w:val="26"/>
        </w:rPr>
        <w:t>Tất cả cán bộ, nhân viên, khách đến giao dịch, công tác tại Công ty đều phải chấp hành nghiêm chỉnh các quy định về phòng cháy và chữa cháy (PCCC).</w:t>
      </w:r>
    </w:p>
    <w:p>
      <w:pPr>
        <w:pStyle w:val="BodyText"/>
        <w:bidi w:val="0"/>
        <w:jc w:val="start"/>
        <w:rPr>
          <w:rFonts w:ascii="Times New Roman" w:hAnsi="Times New Roman"/>
          <w:b/>
          <w:sz w:val="26"/>
          <w:szCs w:val="26"/>
        </w:rPr>
      </w:pPr>
      <w:r>
        <w:rPr>
          <w:rFonts w:ascii="Times New Roman" w:hAnsi="Times New Roman"/>
          <w:b/>
          <w:sz w:val="26"/>
          <w:szCs w:val="26"/>
        </w:rPr>
        <w:t>Điều 2. Quản lý nguồn lửa, nguồn nhiệt:</w:t>
      </w:r>
    </w:p>
    <w:p>
      <w:pPr>
        <w:pStyle w:val="BodyText"/>
        <w:bidi w:val="0"/>
        <w:jc w:val="start"/>
        <w:rPr>
          <w:rFonts w:ascii="Times New Roman" w:hAnsi="Times New Roman"/>
          <w:sz w:val="26"/>
          <w:szCs w:val="26"/>
        </w:rPr>
      </w:pPr>
      <w:r>
        <w:rPr>
          <w:rFonts w:ascii="Times New Roman" w:hAnsi="Times New Roman"/>
          <w:b/>
          <w:sz w:val="26"/>
          <w:szCs w:val="26"/>
        </w:rPr>
        <w:t xml:space="preserve">- </w:t>
      </w:r>
      <w:r>
        <w:rPr>
          <w:rFonts w:ascii="Times New Roman" w:hAnsi="Times New Roman"/>
          <w:sz w:val="26"/>
          <w:szCs w:val="26"/>
        </w:rPr>
        <w:t>Cấm tuyệt đối hút thuốc, thắp hương, đốt vàng mã, đun nấu trong văn phòng, kho hàng và các khu vực có nguy cơ cháy nổ cao.</w:t>
      </w:r>
    </w:p>
    <w:p>
      <w:pPr>
        <w:pStyle w:val="BodyText"/>
        <w:bidi w:val="0"/>
        <w:jc w:val="start"/>
        <w:rPr>
          <w:rFonts w:ascii="Times New Roman" w:hAnsi="Times New Roman"/>
          <w:sz w:val="26"/>
          <w:szCs w:val="26"/>
        </w:rPr>
      </w:pPr>
      <w:r>
        <w:rPr>
          <w:rFonts w:ascii="Times New Roman" w:hAnsi="Times New Roman"/>
          <w:sz w:val="26"/>
          <w:szCs w:val="26"/>
        </w:rPr>
        <w:t>- Việc sử dụng thiết bị sinh lửa, sinh nhiệt (như hàn, cắt kim loại) phải được sự đồng ý của Trưởng bộ phận an toàn/PCCC và có biện pháp che chắn, giám sát chặt chẽ.</w:t>
      </w:r>
    </w:p>
    <w:p>
      <w:pPr>
        <w:pStyle w:val="BodyText"/>
        <w:bidi w:val="0"/>
        <w:jc w:val="start"/>
        <w:rPr>
          <w:rFonts w:ascii="Times New Roman" w:hAnsi="Times New Roman"/>
          <w:b/>
          <w:sz w:val="26"/>
          <w:szCs w:val="26"/>
        </w:rPr>
      </w:pPr>
      <w:r>
        <w:rPr>
          <w:rFonts w:ascii="Times New Roman" w:hAnsi="Times New Roman"/>
          <w:b/>
          <w:sz w:val="26"/>
          <w:szCs w:val="26"/>
        </w:rPr>
        <w:t>Điều 3. Quản lý hệ thống và thiết bị điện:</w:t>
      </w:r>
    </w:p>
    <w:p>
      <w:pPr>
        <w:pStyle w:val="BodyText"/>
        <w:bidi w:val="0"/>
        <w:jc w:val="start"/>
        <w:rPr>
          <w:rFonts w:ascii="Times New Roman" w:hAnsi="Times New Roman"/>
          <w:sz w:val="26"/>
          <w:szCs w:val="26"/>
        </w:rPr>
      </w:pPr>
      <w:r>
        <w:rPr>
          <w:rFonts w:ascii="Times New Roman" w:hAnsi="Times New Roman"/>
          <w:b/>
          <w:sz w:val="26"/>
          <w:szCs w:val="26"/>
        </w:rPr>
        <w:t xml:space="preserve">- </w:t>
      </w:r>
      <w:r>
        <w:rPr>
          <w:rFonts w:ascii="Times New Roman" w:hAnsi="Times New Roman"/>
          <w:sz w:val="26"/>
          <w:szCs w:val="26"/>
        </w:rPr>
        <w:t>Không tự ý đấu nối, lắp đặt thêm các thiết bị điện ngoài quy định; không dùng dây dẫn điện thắt nút hoặc kẹp vào đinh/kim loại.</w:t>
      </w:r>
    </w:p>
    <w:p>
      <w:pPr>
        <w:pStyle w:val="BodyText"/>
        <w:bidi w:val="0"/>
        <w:jc w:val="start"/>
        <w:rPr>
          <w:rFonts w:ascii="Times New Roman" w:hAnsi="Times New Roman"/>
          <w:sz w:val="26"/>
          <w:szCs w:val="26"/>
        </w:rPr>
      </w:pPr>
      <w:r>
        <w:rPr>
          <w:rFonts w:ascii="Times New Roman" w:hAnsi="Times New Roman"/>
          <w:sz w:val="26"/>
          <w:szCs w:val="26"/>
        </w:rPr>
        <w:t>- Tắt toàn bộ thiết bị điện không cần thiết và ngắt cầu dao tổng (nếu có) trước khi rời khỏi phòng làm việc hoặc khi hết giờ làm việc.</w:t>
      </w:r>
    </w:p>
    <w:p>
      <w:pPr>
        <w:pStyle w:val="BodyText"/>
        <w:bidi w:val="0"/>
        <w:jc w:val="start"/>
        <w:rPr>
          <w:rFonts w:ascii="Times New Roman" w:hAnsi="Times New Roman"/>
          <w:b/>
          <w:sz w:val="26"/>
          <w:szCs w:val="26"/>
        </w:rPr>
      </w:pPr>
      <w:r>
        <w:rPr>
          <w:rFonts w:ascii="Times New Roman" w:hAnsi="Times New Roman"/>
          <w:b/>
          <w:sz w:val="26"/>
          <w:szCs w:val="26"/>
        </w:rPr>
        <w:t>Điều 4. Quản lý lối thoát nạn và phương tiện PCCC:</w:t>
      </w:r>
    </w:p>
    <w:p>
      <w:pPr>
        <w:pStyle w:val="BodyText"/>
        <w:bidi w:val="0"/>
        <w:jc w:val="start"/>
        <w:rPr>
          <w:rFonts w:ascii="Times New Roman" w:hAnsi="Times New Roman"/>
          <w:sz w:val="26"/>
          <w:szCs w:val="26"/>
        </w:rPr>
      </w:pPr>
      <w:r>
        <w:rPr>
          <w:rFonts w:ascii="Times New Roman" w:hAnsi="Times New Roman"/>
          <w:b/>
          <w:sz w:val="26"/>
          <w:szCs w:val="26"/>
        </w:rPr>
        <w:t xml:space="preserve">- </w:t>
      </w:r>
      <w:r>
        <w:rPr>
          <w:rFonts w:ascii="Times New Roman" w:hAnsi="Times New Roman"/>
          <w:sz w:val="26"/>
          <w:szCs w:val="26"/>
        </w:rPr>
        <w:t>Lối đi, hành lang, cầu thang thoát nạn và nơi đặt phương tiện chữa cháy phải luôn thông thoáng; cấm để hàng hóa, vật dụng cản trở.</w:t>
      </w:r>
    </w:p>
    <w:p>
      <w:pPr>
        <w:pStyle w:val="BodyText"/>
        <w:bidi w:val="0"/>
        <w:jc w:val="start"/>
        <w:rPr>
          <w:rFonts w:ascii="Times New Roman" w:hAnsi="Times New Roman"/>
          <w:sz w:val="26"/>
          <w:szCs w:val="26"/>
        </w:rPr>
      </w:pPr>
      <w:r>
        <w:rPr>
          <w:rFonts w:ascii="Times New Roman" w:hAnsi="Times New Roman"/>
          <w:sz w:val="26"/>
          <w:szCs w:val="26"/>
        </w:rPr>
        <w:t>- Không được tự ý di chuyển, tháo dỡ hoặc sử dụng thiết bị PCCC vào mục đích khác ngoài mục đích chữa cháy và thực tập phương án.</w:t>
      </w:r>
    </w:p>
    <w:p>
      <w:pPr>
        <w:pStyle w:val="BodyText"/>
        <w:bidi w:val="0"/>
        <w:jc w:val="start"/>
        <w:rPr>
          <w:rFonts w:ascii="Times New Roman" w:hAnsi="Times New Roman"/>
          <w:b/>
          <w:sz w:val="26"/>
          <w:szCs w:val="26"/>
        </w:rPr>
      </w:pPr>
      <w:r>
        <w:rPr>
          <w:rFonts w:ascii="Times New Roman" w:hAnsi="Times New Roman"/>
          <w:b/>
          <w:sz w:val="26"/>
          <w:szCs w:val="26"/>
        </w:rPr>
        <w:t>Điều 5. Xử lý khi có sự cố cháy, nổ:</w:t>
      </w:r>
    </w:p>
    <w:p>
      <w:pPr>
        <w:pStyle w:val="BodyText"/>
        <w:bidi w:val="0"/>
        <w:jc w:val="start"/>
        <w:rPr>
          <w:rFonts w:ascii="Times New Roman" w:hAnsi="Times New Roman"/>
          <w:sz w:val="26"/>
          <w:szCs w:val="26"/>
        </w:rPr>
      </w:pPr>
      <w:r>
        <w:rPr>
          <w:rFonts w:ascii="Times New Roman" w:hAnsi="Times New Roman"/>
          <w:b/>
          <w:sz w:val="26"/>
          <w:szCs w:val="26"/>
        </w:rPr>
        <w:t xml:space="preserve">- </w:t>
      </w:r>
      <w:r>
        <w:rPr>
          <w:rFonts w:ascii="Times New Roman" w:hAnsi="Times New Roman"/>
          <w:sz w:val="26"/>
          <w:szCs w:val="26"/>
        </w:rPr>
        <w:t>Khi phát hiện cháy/khói, người phát hiện phải lập tức báo động (hô khoán, ấn chuông báo cháy), ngắt cầu dao điện khu vực bị cháy.</w:t>
      </w:r>
    </w:p>
    <w:p>
      <w:pPr>
        <w:pStyle w:val="BodyText"/>
        <w:bidi w:val="0"/>
        <w:jc w:val="start"/>
        <w:rPr>
          <w:rFonts w:ascii="Times New Roman" w:hAnsi="Times New Roman"/>
          <w:sz w:val="26"/>
          <w:szCs w:val="26"/>
        </w:rPr>
      </w:pPr>
      <w:r>
        <w:rPr>
          <w:rFonts w:ascii="Times New Roman" w:hAnsi="Times New Roman"/>
          <w:sz w:val="26"/>
          <w:szCs w:val="26"/>
        </w:rPr>
        <w:t>- Sử dụng ngay các phương tiện chữa cháy tại chỗ (bình chữa cháy, họng nước) để dập lửa.</w:t>
      </w:r>
    </w:p>
    <w:p>
      <w:pPr>
        <w:pStyle w:val="BodyText"/>
        <w:bidi w:val="0"/>
        <w:jc w:val="start"/>
        <w:rPr>
          <w:rFonts w:ascii="Times New Roman" w:hAnsi="Times New Roman"/>
          <w:sz w:val="26"/>
          <w:szCs w:val="26"/>
        </w:rPr>
      </w:pPr>
      <w:r>
        <w:rPr>
          <w:rFonts w:ascii="Times New Roman" w:hAnsi="Times New Roman"/>
          <w:sz w:val="26"/>
          <w:szCs w:val="26"/>
        </w:rPr>
        <w:t xml:space="preserve">- Gọi ngay cho Lực lượng Cảnh sát PCCC và CNCH qua số điện thoại </w:t>
      </w:r>
      <w:r>
        <w:rPr>
          <w:rFonts w:ascii="Times New Roman" w:hAnsi="Times New Roman"/>
          <w:b/>
          <w:sz w:val="26"/>
          <w:szCs w:val="26"/>
        </w:rPr>
        <w:t>114</w:t>
      </w:r>
      <w:r>
        <w:rPr>
          <w:rFonts w:ascii="Times New Roman" w:hAnsi="Times New Roman"/>
          <w:sz w:val="26"/>
          <w:szCs w:val="26"/>
        </w:rPr>
        <w:t xml:space="preserve"> và báo cho Ban Giám đốc/Đội PCCC cơ sở.</w:t>
      </w:r>
    </w:p>
    <w:p>
      <w:pPr>
        <w:pStyle w:val="BodyText"/>
        <w:bidi w:val="0"/>
        <w:jc w:val="start"/>
        <w:rPr>
          <w:rFonts w:ascii="Times New Roman" w:hAnsi="Times New Roman"/>
          <w:b/>
          <w:sz w:val="26"/>
          <w:szCs w:val="26"/>
        </w:rPr>
      </w:pPr>
      <w:r>
        <w:rPr>
          <w:rFonts w:ascii="Times New Roman" w:hAnsi="Times New Roman"/>
          <w:b/>
          <w:sz w:val="26"/>
          <w:szCs w:val="26"/>
        </w:rPr>
        <w:t>Điều 6. Khen thưởng và Xử lý vi phạm:</w:t>
      </w:r>
    </w:p>
    <w:p>
      <w:pPr>
        <w:pStyle w:val="BodyText"/>
        <w:bidi w:val="0"/>
        <w:jc w:val="start"/>
        <w:rPr>
          <w:rFonts w:ascii="Times New Roman" w:hAnsi="Times New Roman"/>
          <w:sz w:val="26"/>
          <w:szCs w:val="26"/>
        </w:rPr>
      </w:pPr>
      <w:r>
        <w:rPr>
          <w:rFonts w:ascii="Times New Roman" w:hAnsi="Times New Roman"/>
          <w:b/>
          <w:sz w:val="26"/>
          <w:szCs w:val="26"/>
        </w:rPr>
        <w:t xml:space="preserve">- </w:t>
      </w:r>
      <w:r>
        <w:rPr>
          <w:rFonts w:ascii="Times New Roman" w:hAnsi="Times New Roman"/>
          <w:sz w:val="26"/>
          <w:szCs w:val="26"/>
        </w:rPr>
        <w:t>Cá nhân, tập thể có thành tích trong công tác PCCC sẽ được khen thưởng theo quy định của Công ty.</w:t>
      </w:r>
    </w:p>
    <w:p>
      <w:pPr>
        <w:pStyle w:val="BodyText"/>
        <w:bidi w:val="0"/>
        <w:jc w:val="start"/>
        <w:rPr>
          <w:rFonts w:ascii="Times New Roman" w:hAnsi="Times New Roman"/>
          <w:sz w:val="26"/>
          <w:szCs w:val="26"/>
        </w:rPr>
      </w:pPr>
      <w:r>
        <w:rPr>
          <w:rFonts w:ascii="Times New Roman" w:hAnsi="Times New Roman"/>
          <w:sz w:val="26"/>
          <w:szCs w:val="26"/>
        </w:rPr>
        <w:t>- Cá nhân vi phạm nội quy, tùy theo mức độ sẽ bị xử lý kỷ luật, bồi thường thiệt hại hoặc truy cứu trách nhiệm theo quy định của pháp luật.</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3</Pages>
  <Words>683</Words>
  <Characters>2414</Characters>
  <CharactersWithSpaces>3055</CharactersWithSpaces>
  <Paragraphs>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2026-08-22T16:39:04Z</dcterms:created>
  <dc:creator/>
  <dc:description/>
  <dc:language>en-US</dc:language>
  <cp:lastModifiedBy/>
  <dcterms:modified xsi:type="dcterms:W3CDTF">2026-08-22T16:51:05Z</dcterms:modified>
  <cp:revision>1</cp:revision>
  <dc:subject/>
  <dc:title/>
</cp:coreProperties>
</file>