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4"/>
          <w:szCs w:val="24"/>
        </w:rPr>
      </w:pPr>
      <w:r>
        <w:rPr>
          <w:rFonts w:ascii="Times New Roman" w:hAnsi="Times New Roman"/>
          <w:sz w:val="24"/>
          <w:szCs w:val="24"/>
        </w:rPr>
      </w:r>
    </w:p>
    <w:tbl>
      <w:tblPr>
        <w:tblW w:w="5000" w:type="pct"/>
        <w:jc w:val="start"/>
        <w:tblInd w:w="0" w:type="dxa"/>
        <w:tblLayout w:type="fixed"/>
        <w:tblCellMar>
          <w:top w:w="0" w:type="dxa"/>
          <w:start w:w="0" w:type="dxa"/>
          <w:bottom w:w="0" w:type="dxa"/>
          <w:end w:w="0" w:type="dxa"/>
        </w:tblCellMar>
      </w:tblPr>
      <w:tblGrid>
        <w:gridCol w:w="3724"/>
        <w:gridCol w:w="6247"/>
      </w:tblGrid>
      <w:tr>
        <w:trPr/>
        <w:tc>
          <w:tcPr>
            <w:tcW w:w="3724"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lang w:val="en-GB"/>
              </w:rPr>
              <w:t>CƠ QUAN QUẢN LÝ</w:t>
              <w:br/>
              <w:t>NHIỆM VỤ</w:t>
            </w:r>
            <w:r>
              <w:rPr>
                <w:rFonts w:ascii="Times New Roman" w:hAnsi="Times New Roman"/>
                <w:sz w:val="24"/>
                <w:szCs w:val="24"/>
              </w:rPr>
              <w:br/>
            </w:r>
            <w:r>
              <w:rPr>
                <w:rFonts w:ascii="Times New Roman" w:hAnsi="Times New Roman"/>
                <w:b/>
                <w:sz w:val="24"/>
                <w:szCs w:val="24"/>
                <w:lang w:val="en-GB"/>
              </w:rPr>
              <w:t>ĐƠN VỊ ĐƯỢC GIAO</w:t>
              <w:br/>
              <w:t>KÝ HỢP ĐỒNG</w:t>
              <w:br/>
              <w:t>-------</w:t>
            </w:r>
          </w:p>
        </w:tc>
        <w:tc>
          <w:tcPr>
            <w:tcW w:w="6247" w:type="dxa"/>
            <w:tcBorders/>
          </w:tcPr>
          <w:p>
            <w:pPr>
              <w:pStyle w:val="Nidungbng"/>
              <w:pBdr/>
              <w:bidi w:val="0"/>
              <w:spacing w:lineRule="atLeast" w:line="225" w:before="120" w:after="120"/>
              <w:ind w:hanging="0" w:start="0" w:end="0"/>
              <w:jc w:val="center"/>
              <w:rPr>
                <w:rFonts w:ascii="Times New Roman" w:hAnsi="Times New Roman"/>
                <w:b/>
                <w:sz w:val="24"/>
                <w:szCs w:val="24"/>
                <w:lang w:val="en-GB"/>
              </w:rPr>
            </w:pPr>
            <w:r>
              <w:rPr>
                <w:rFonts w:ascii="Times New Roman" w:hAnsi="Times New Roman"/>
                <w:b/>
                <w:sz w:val="24"/>
                <w:szCs w:val="24"/>
                <w:lang w:val="en-GB"/>
              </w:rPr>
              <w:t>CỘNG HÒA XÃ HỘI CHỦ NGHĨA VIỆT NAM</w:t>
              <w:br/>
              <w:t>Độc lập - Tự do - Hạnh phúc</w:t>
              <w:br/>
              <w:t>---------------</w:t>
            </w:r>
          </w:p>
        </w:tc>
      </w:tr>
      <w:tr>
        <w:trPr/>
        <w:tc>
          <w:tcPr>
            <w:tcW w:w="3724"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247" w:type="dxa"/>
            <w:tcBorders/>
          </w:tcPr>
          <w:p>
            <w:pPr>
              <w:pStyle w:val="Nidungbng"/>
              <w:pBdr/>
              <w:bidi w:val="0"/>
              <w:spacing w:lineRule="atLeast" w:line="225" w:before="120" w:after="120"/>
              <w:ind w:hanging="0" w:start="0" w:end="0"/>
              <w:jc w:val="end"/>
              <w:rPr>
                <w:rFonts w:ascii="Times New Roman" w:hAnsi="Times New Roman"/>
                <w:sz w:val="24"/>
                <w:szCs w:val="24"/>
              </w:rPr>
            </w:pPr>
            <w:r>
              <w:rPr>
                <w:rFonts w:ascii="Times New Roman" w:hAnsi="Times New Roman"/>
                <w:sz w:val="24"/>
                <w:szCs w:val="24"/>
              </w:rPr>
              <w:t>…</w:t>
            </w:r>
            <w:r>
              <w:rPr>
                <w:rFonts w:ascii="Times New Roman" w:hAnsi="Times New Roman"/>
                <w:i/>
                <w:sz w:val="24"/>
                <w:szCs w:val="24"/>
                <w:lang w:val="en-GB"/>
              </w:rPr>
              <w:t>, ngày … tháng … năm ...</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lang w:val="en-GB"/>
        </w:rPr>
      </w:pPr>
      <w:bookmarkStart w:id="0" w:name="chuong_pl_18_name"/>
      <w:bookmarkEnd w:id="0"/>
      <w:r>
        <w:rPr>
          <w:rFonts w:ascii="Times New Roman" w:hAnsi="Times New Roman"/>
          <w:b/>
          <w:i w:val="false"/>
          <w:caps w:val="false"/>
          <w:smallCaps w:val="false"/>
          <w:strike w:val="false"/>
          <w:dstrike w:val="false"/>
          <w:color w:val="000000"/>
          <w:spacing w:val="0"/>
          <w:sz w:val="24"/>
          <w:szCs w:val="24"/>
          <w:u w:val="none"/>
          <w:effect w:val="none"/>
          <w:lang w:val="en-GB"/>
        </w:rPr>
        <w:t>HỢP ĐỒNG</w:t>
      </w:r>
    </w:p>
    <w:p>
      <w:pPr>
        <w:pStyle w:val="BodyText"/>
        <w:widowControl/>
        <w:pBdr/>
        <w:bidi w:val="0"/>
        <w:spacing w:lineRule="atLeast" w:line="225" w:before="0" w:after="0"/>
        <w:ind w:hanging="0" w:start="0" w:end="0"/>
        <w:jc w:val="center"/>
        <w:rPr>
          <w:rFonts w:ascii="Times New Roman" w:hAnsi="Times New Roman"/>
          <w:b w:val="false"/>
          <w:i w:val="false"/>
          <w:caps w:val="false"/>
          <w:smallCaps w:val="false"/>
          <w:color w:val="000000"/>
          <w:spacing w:val="0"/>
          <w:sz w:val="24"/>
          <w:szCs w:val="24"/>
        </w:rPr>
      </w:pPr>
      <w:bookmarkStart w:id="1" w:name="chuong_pl_18_name_name"/>
      <w:bookmarkEnd w:id="1"/>
      <w:r>
        <w:rPr>
          <w:rFonts w:ascii="Times New Roman" w:hAnsi="Times New Roman"/>
          <w:b/>
          <w:i w:val="false"/>
          <w:caps w:val="false"/>
          <w:smallCaps w:val="false"/>
          <w:strike w:val="false"/>
          <w:dstrike w:val="false"/>
          <w:color w:val="000000"/>
          <w:spacing w:val="0"/>
          <w:sz w:val="24"/>
          <w:szCs w:val="24"/>
          <w:u w:val="none"/>
          <w:effect w:val="none"/>
          <w:lang w:val="en-GB"/>
        </w:rPr>
        <w:t>THỰC HIỆN NHIỆM VỤ PHÁT TRIỂN CÔNG NGHỆ CHIẾN LƯỢC</w:t>
      </w:r>
      <w:r>
        <w:rPr>
          <w:rFonts w:ascii="Times New Roman" w:hAnsi="Times New Roman"/>
          <w:b/>
          <w:i w:val="false"/>
          <w:caps w:val="false"/>
          <w:smallCaps w:val="false"/>
          <w:color w:val="000000"/>
          <w:spacing w:val="0"/>
          <w:sz w:val="24"/>
          <w:szCs w:val="24"/>
        </w:rPr>
        <w:br/>
      </w:r>
      <w:bookmarkStart w:id="2" w:name="chuong_pl_18_name_name_name"/>
      <w:bookmarkEnd w:id="2"/>
      <w:r>
        <w:rPr>
          <w:rFonts w:ascii="Times New Roman" w:hAnsi="Times New Roman"/>
          <w:b w:val="false"/>
          <w:i/>
          <w:caps w:val="false"/>
          <w:smallCaps w:val="false"/>
          <w:strike w:val="false"/>
          <w:dstrike w:val="false"/>
          <w:color w:val="000000"/>
          <w:spacing w:val="0"/>
          <w:sz w:val="24"/>
          <w:szCs w:val="24"/>
          <w:u w:val="none"/>
          <w:effect w:val="none"/>
          <w:lang w:val="en-GB"/>
        </w:rPr>
        <w:t>(Loại hình nhiệm vụ: Tài trợ hoặc Đặt hàng)</w:t>
      </w:r>
      <w:r>
        <w:rPr>
          <w:rFonts w:ascii="Times New Roman" w:hAnsi="Times New Roman"/>
          <w:b w:val="false"/>
          <w:i/>
          <w:caps w:val="false"/>
          <w:smallCaps w:val="false"/>
          <w:color w:val="000000"/>
          <w:spacing w:val="0"/>
          <w:sz w:val="24"/>
          <w:szCs w:val="24"/>
        </w:rPr>
        <w:br/>
      </w:r>
      <w:r>
        <w:rPr>
          <w:rFonts w:ascii="Times New Roman" w:hAnsi="Times New Roman"/>
          <w:b/>
          <w:i w:val="false"/>
          <w:caps w:val="false"/>
          <w:smallCaps w:val="false"/>
          <w:color w:val="000000"/>
          <w:spacing w:val="0"/>
          <w:sz w:val="24"/>
          <w:szCs w:val="24"/>
          <w:lang w:val="en-GB"/>
        </w:rPr>
        <w:t>Số: ......</w:t>
      </w:r>
      <w:r>
        <w:rPr>
          <w:rFonts w:ascii="Times New Roman" w:hAnsi="Times New Roman"/>
          <w:b/>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lang w:val="en-GB"/>
        </w:rPr>
      </w:pPr>
      <w:r>
        <w:rPr>
          <w:rFonts w:ascii="Times New Roman" w:hAnsi="Times New Roman"/>
          <w:b w:val="false"/>
          <w:i/>
          <w:caps w:val="false"/>
          <w:smallCaps w:val="false"/>
          <w:color w:val="000000"/>
          <w:spacing w:val="0"/>
          <w:sz w:val="24"/>
          <w:szCs w:val="24"/>
          <w:lang w:val="en-GB"/>
        </w:rPr>
        <w:t>Căn cứ Bộ luật Dân sự số 91/2015/QH13;</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lang w:val="en-GB"/>
        </w:rPr>
      </w:pPr>
      <w:r>
        <w:rPr>
          <w:rFonts w:ascii="Times New Roman" w:hAnsi="Times New Roman"/>
          <w:b w:val="false"/>
          <w:i/>
          <w:caps w:val="false"/>
          <w:smallCaps w:val="false"/>
          <w:color w:val="000000"/>
          <w:spacing w:val="0"/>
          <w:sz w:val="24"/>
          <w:szCs w:val="24"/>
          <w:lang w:val="en-GB"/>
        </w:rPr>
        <w:t>Căn cứ Luật Khoa học, công nghệ và đổi mới sáng tạo số 93/2025/QH15;</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lang w:val="en-GB"/>
        </w:rPr>
      </w:pPr>
      <w:r>
        <w:rPr>
          <w:rFonts w:ascii="Times New Roman" w:hAnsi="Times New Roman"/>
          <w:b w:val="false"/>
          <w:i/>
          <w:caps w:val="false"/>
          <w:smallCaps w:val="false"/>
          <w:color w:val="000000"/>
          <w:spacing w:val="0"/>
          <w:sz w:val="24"/>
          <w:szCs w:val="24"/>
          <w:lang w:val="en-GB"/>
        </w:rPr>
        <w:t>Căn cứ Luật Công nghệ cao số 133/2025/QH15;</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lang w:val="en-GB"/>
        </w:rPr>
      </w:pPr>
      <w:r>
        <w:rPr>
          <w:rFonts w:ascii="Times New Roman" w:hAnsi="Times New Roman"/>
          <w:b w:val="false"/>
          <w:i/>
          <w:caps w:val="false"/>
          <w:smallCaps w:val="false"/>
          <w:color w:val="000000"/>
          <w:spacing w:val="0"/>
          <w:sz w:val="24"/>
          <w:szCs w:val="24"/>
          <w:lang w:val="en-GB"/>
        </w:rPr>
        <w:t>Căn cứ Nghị định số 260/2026/NĐ-CP ngày 30 tháng 6 năm 2026 của Chính phủ quy định chi tiết và biện pháp thi hành một số điều của Luật Công nghệ cao;</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lang w:val="en-GB"/>
        </w:rPr>
      </w:pPr>
      <w:r>
        <w:rPr>
          <w:rFonts w:ascii="Times New Roman" w:hAnsi="Times New Roman"/>
          <w:b w:val="false"/>
          <w:i/>
          <w:caps w:val="false"/>
          <w:smallCaps w:val="false"/>
          <w:color w:val="000000"/>
          <w:spacing w:val="0"/>
          <w:sz w:val="24"/>
          <w:szCs w:val="24"/>
          <w:lang w:val="en-GB"/>
        </w:rPr>
        <w:t>Căn cứ Thông tư số 48/2026/TT-BKHCN ngày 01 tháng 8 năm 2026 của Bộ trưởng Bộ Khoa học và Công nghệ quy định trình tự, thủ tục xét tài trợ, đặt hàng và ký hợp đồng thực hiện nhiệm vụ nghiên cứu và phát triển công nghệ chiến lược thuộc Chương trình khoa học, công nghệ và đổi mới sáng tạo quốc gia đặc biệt về công nghệ chiến lược;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caps w:val="false"/>
          <w:smallCaps w:val="false"/>
          <w:color w:val="000000"/>
          <w:spacing w:val="0"/>
          <w:sz w:val="24"/>
          <w:szCs w:val="24"/>
          <w:lang w:val="en-GB"/>
        </w:rPr>
        <w:t>Căn cứ Quyết định số</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 </w:t>
      </w:r>
      <w:r>
        <w:rPr>
          <w:rFonts w:ascii="Times New Roman" w:hAnsi="Times New Roman"/>
          <w:b w:val="false"/>
          <w:i/>
          <w:caps w:val="false"/>
          <w:smallCaps w:val="false"/>
          <w:color w:val="000000"/>
          <w:spacing w:val="0"/>
          <w:sz w:val="24"/>
          <w:szCs w:val="24"/>
          <w:lang w:val="en-GB"/>
        </w:rPr>
        <w:t>ngày</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 </w:t>
      </w:r>
      <w:r>
        <w:rPr>
          <w:rFonts w:ascii="Times New Roman" w:hAnsi="Times New Roman"/>
          <w:b w:val="false"/>
          <w:i/>
          <w:caps w:val="false"/>
          <w:smallCaps w:val="false"/>
          <w:color w:val="000000"/>
          <w:spacing w:val="0"/>
          <w:sz w:val="24"/>
          <w:szCs w:val="24"/>
          <w:lang w:val="en-GB"/>
        </w:rPr>
        <w:t>tháng</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 </w:t>
      </w:r>
      <w:r>
        <w:rPr>
          <w:rFonts w:ascii="Times New Roman" w:hAnsi="Times New Roman"/>
          <w:b w:val="false"/>
          <w:i/>
          <w:caps w:val="false"/>
          <w:smallCaps w:val="false"/>
          <w:color w:val="000000"/>
          <w:spacing w:val="0"/>
          <w:sz w:val="24"/>
          <w:szCs w:val="24"/>
          <w:lang w:val="en-GB"/>
        </w:rPr>
        <w:t>năm</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 </w:t>
      </w:r>
      <w:r>
        <w:rPr>
          <w:rFonts w:ascii="Times New Roman" w:hAnsi="Times New Roman"/>
          <w:b w:val="false"/>
          <w:i/>
          <w:caps w:val="false"/>
          <w:smallCaps w:val="false"/>
          <w:color w:val="000000"/>
          <w:spacing w:val="0"/>
          <w:sz w:val="24"/>
          <w:szCs w:val="24"/>
          <w:lang w:val="en-GB"/>
        </w:rPr>
        <w:t>của Thủ trưởng cơ quan quản lý nhiệm vụ phê duyệt tổ chức chủ trì, chủ nhiệm nhiệm vụ, kinh phí và thời gian thực hiện nhiệm vụ phát triển công nghệ chiến lược</w:t>
      </w:r>
      <w:r>
        <w:rPr>
          <w:rFonts w:ascii="Times New Roman" w:hAnsi="Times New Roman"/>
          <w:b w:val="false"/>
          <w:i w:val="false"/>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lang w:val="en-GB"/>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CHÚNG TÔI GỒM: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1. Bên giao nhiệm vụ (Bên </w:t>
      </w:r>
      <w:r>
        <w:rPr>
          <w:rFonts w:ascii="Times New Roman" w:hAnsi="Times New Roman"/>
          <w:b w:val="false"/>
          <w:i w:val="false"/>
          <w:caps w:val="false"/>
          <w:smallCaps w:val="false"/>
          <w:color w:val="000000"/>
          <w:spacing w:val="0"/>
          <w:sz w:val="24"/>
          <w:szCs w:val="24"/>
        </w:rPr>
        <w:t>A): </w:t>
      </w:r>
      <w:r>
        <w:rPr>
          <w:rFonts w:ascii="Times New Roman" w:hAnsi="Times New Roman"/>
          <w:b w:val="false"/>
          <w:i w:val="false"/>
          <w:caps w:val="false"/>
          <w:smallCaps w:val="false"/>
          <w:color w:val="000000"/>
          <w:spacing w:val="0"/>
          <w:sz w:val="24"/>
          <w:szCs w:val="24"/>
          <w:lang w:val="en-GB"/>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 Đại diện: Ông/Bà ...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Chức vụ: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 Điện thoại: ... </w:t>
      </w:r>
      <w:r>
        <w:rPr>
          <w:rFonts w:ascii="Times New Roman" w:hAnsi="Times New Roman"/>
          <w:b w:val="false"/>
          <w:i w:val="false"/>
          <w:caps w:val="false"/>
          <w:smallCaps w:val="false"/>
          <w:color w:val="000000"/>
          <w:spacing w:val="0"/>
          <w:sz w:val="24"/>
          <w:szCs w:val="24"/>
        </w:rPr>
        <w:t>                                     Email:...</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 Số tài khoản: ...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Tại:...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Mã số sử dụng ngân sách: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2. Bên nhận nhiệm vụ (Bên </w:t>
      </w:r>
      <w:r>
        <w:rPr>
          <w:rFonts w:ascii="Times New Roman" w:hAnsi="Times New Roman"/>
          <w:b w:val="false"/>
          <w:i w:val="false"/>
          <w:caps w:val="false"/>
          <w:smallCaps w:val="false"/>
          <w:color w:val="000000"/>
          <w:spacing w:val="0"/>
          <w:sz w:val="24"/>
          <w:szCs w:val="24"/>
        </w:rPr>
        <w:t>B): </w:t>
      </w:r>
      <w:r>
        <w:rPr>
          <w:rFonts w:ascii="Times New Roman" w:hAnsi="Times New Roman"/>
          <w:b w:val="false"/>
          <w:i w:val="false"/>
          <w:caps w:val="false"/>
          <w:smallCaps w:val="false"/>
          <w:color w:val="000000"/>
          <w:spacing w:val="0"/>
          <w:sz w:val="24"/>
          <w:szCs w:val="24"/>
          <w:lang w:val="en-GB"/>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a) Tổ chức chủ trì:</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Tên tổ chức chủ trì: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 Đại diện: Ông/Bà ...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Chức vụ: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 Điện thoại: ... </w:t>
      </w:r>
      <w:r>
        <w:rPr>
          <w:rFonts w:ascii="Times New Roman" w:hAnsi="Times New Roman"/>
          <w:b w:val="false"/>
          <w:i w:val="false"/>
          <w:caps w:val="false"/>
          <w:smallCaps w:val="false"/>
          <w:color w:val="000000"/>
          <w:spacing w:val="0"/>
          <w:sz w:val="24"/>
          <w:szCs w:val="24"/>
        </w:rPr>
        <w:t>                                     Email:...</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 Số tài khoản: ...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Tại:...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Mã số sử dụng ngân sách: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b) Chủ nhiệm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 Họ và tên: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Giới tính: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Ngày sinh: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Nơi sinh: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 Căn cước số: ...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Ngày cấp: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Nơi cấp: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 Chức vụ: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Cơ quan công tác: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Địa chỉ liên hệ: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 Điện thoại: ...</w:t>
      </w:r>
      <w:r>
        <w:rPr>
          <w:rFonts w:ascii="Times New Roman" w:hAnsi="Times New Roman"/>
          <w:b w:val="false"/>
          <w:i w:val="false"/>
          <w:caps w:val="false"/>
          <w:smallCaps w:val="false"/>
          <w:color w:val="000000"/>
          <w:spacing w:val="0"/>
          <w:sz w:val="24"/>
          <w:szCs w:val="24"/>
        </w:rPr>
        <w:t>                                      Email: </w:t>
      </w:r>
      <w:r>
        <w:rPr>
          <w:rFonts w:ascii="Times New Roman" w:hAnsi="Times New Roman"/>
          <w:b w:val="false"/>
          <w:i w:val="false"/>
          <w:caps w:val="false"/>
          <w:smallCaps w:val="false"/>
          <w:color w:val="000000"/>
          <w:spacing w:val="0"/>
          <w:sz w:val="24"/>
          <w:szCs w:val="24"/>
          <w:lang w:val="en-GB"/>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Học hàm, học vị: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Hai bên thống nhất ký kết Hợp đồng thực hiện nhiệm vụ phát triển công nghệ chiến lược (sau đây gọi là Hợp đồng) với các điều khoản sau:</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Điều 1. Thông tin chung về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1. Tên nhiệm vụ: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Mã số:...</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 Thuộc: Chương trình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3. Hình thức triển khai theo hình thức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Nhiệm vụ: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Cụm nhiệm vụ: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 Chuỗi nhiệm vụ: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4. Mục tiêu, kết quả và thời gian thực hiện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a) Mục tiêu và kết quả của nhiệm vụ được quy định tại Phụ lục HĐ-01 kèm theo Hợp đồng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b) Thời gian thực hiện nhiệm vụ: ... tháng, kể từ tháng ... năm ... đến tháng ... năm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c) Thời gian thực hiện từng gói công việc, thời hạn hoàn thành kết quả đầu ra và các mốc đánh giá được quy định tại Phụ lục HĐ-02 kèm theo Hợp đồng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d) Thời gian hoàn thiện hồ sơ đánh giá cuối kỳ, quyết toán và thanh lý Hợp đồng: ... tháng kể từ thời điểm kết thúc thực hiện chuyên môn.</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Điều 2. Kinh phí, giao khoán và tiến độ cấp kinh phí</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1. Tổng kinh phí thực hiện nhiệm vụ: ... triệu đồng (bằng chữ: ...), trong đó: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a) Kinh phí từ ngân sách nhà nước: ... triệu đồng (Bằng chữ: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b) Kinh phí ngoài ngân sách nhà nước: ... triệu đồng (Bằng chữ: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c) Kinh phí dự phòng</w:t>
      </w:r>
      <w:r>
        <w:rPr>
          <w:rFonts w:ascii="Times New Roman" w:hAnsi="Times New Roman"/>
          <w:b w:val="false"/>
          <w:i w:val="false"/>
          <w:caps w:val="false"/>
          <w:smallCaps w:val="false"/>
          <w:color w:val="000000"/>
          <w:spacing w:val="0"/>
          <w:sz w:val="24"/>
          <w:szCs w:val="24"/>
        </w:rPr>
        <w:t>26</w:t>
      </w:r>
      <w:r>
        <w:rPr>
          <w:rFonts w:ascii="Times New Roman" w:hAnsi="Times New Roman"/>
          <w:b w:val="false"/>
          <w:i w:val="false"/>
          <w:caps w:val="false"/>
          <w:smallCaps w:val="false"/>
          <w:color w:val="000000"/>
          <w:spacing w:val="0"/>
          <w:sz w:val="24"/>
          <w:szCs w:val="24"/>
          <w:lang w:val="en-GB"/>
        </w:rPr>
        <w:t>: ... triệu đồng (Bằng chữ: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 Kinh phí được lập, thẩm định, phê duyệt theo từng gói công việc. Tổng kinh phí, cơ cấu nguồn vốn, kinh phí quản lý, kinh phí chi khác và tiến độ cấp kinh phí được quy định tại Phụ lục HĐ-03 kèm theo Hợp đồng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3. Giá trị giao khoán của mỗi gói công việc được xác định trên cơ sở kết quả đầu ra, chỉ tiêu đánh giá, khối lượng công việc và nguồn lực cần thiết để hoàn thành gói công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4. Bên B được chủ động bố trí nhân lực và điều chỉnh cơ cấu các khoản chi trong</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phạm vi kinh phí giao khoán trong mốc đánh giá, bảo đảm hoàn thành kết quả đầu ra, sản phẩm và chỉ tiêu đã cam kết; không làm tăng tổng kinh phí ngân sách nhà nước trong mốc đánh giá.</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5. Kết quả đánh giá tại mốc đánh giá là căn cứ xác nhận tiến độ, cấp tiếp kinh phí, yêu cầu hoàn thiện, điều chỉnh, tạm dừng hoặc chấm dứt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6. Bên B chịu trách nhiệm về tính hợp pháp của các khoản chi, việc sử dụng kinh phí đúng mục đích và hoàn thành kết quả của gói công việc.</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Điều 3. Tổ chức thực hiện các gói công việc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1. Bên B tổ chức thực hiện từng gói công việc theo mục tiêu, công việc thành phần, kết quả đầu ra, chỉ tiêu đánh giá, thời gian, cá nhân chủ trì và mối liên hệ với các gói công việc khác quy định tại Phụ lục HĐ-02.</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 Mỗi gói công việc do tổ chức hoặc cá nhân chủ trì gói công việc chịu trách nhiệm trực tiếp trước Chủ nhiệm nhiệm vụ và Bên B về tiến độ, chất lượng, kết quả đầu ra và sử dụng nguồn lực.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3. Bên B được chủ động điều chỉnh cách thức tổ chức thực hiện và ph</w:t>
      </w:r>
      <w:r>
        <w:rPr>
          <w:rFonts w:ascii="Times New Roman" w:hAnsi="Times New Roman"/>
          <w:b w:val="false"/>
          <w:i w:val="false"/>
          <w:caps w:val="false"/>
          <w:smallCaps w:val="false"/>
          <w:color w:val="000000"/>
          <w:spacing w:val="0"/>
          <w:sz w:val="24"/>
          <w:szCs w:val="24"/>
        </w:rPr>
        <w:t>â</w:t>
      </w:r>
      <w:r>
        <w:rPr>
          <w:rFonts w:ascii="Times New Roman" w:hAnsi="Times New Roman"/>
          <w:b w:val="false"/>
          <w:i w:val="false"/>
          <w:caps w:val="false"/>
          <w:smallCaps w:val="false"/>
          <w:color w:val="000000"/>
          <w:spacing w:val="0"/>
          <w:sz w:val="24"/>
          <w:szCs w:val="24"/>
          <w:lang w:val="en-GB"/>
        </w:rPr>
        <w:t>n công, bố trí nhân lực trong phạm vi gói công việc, bảo đảm không làm thay đổi mục tiêu, nội dung chính, kết quả đầu ra, sản phẩm, chỉ tiêu đánh giá và mốc đánh giá đã được phê duyệt.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4. Bên B phải nhận diện, theo dõi và xử lý rủi ro của từng gói công việc; kịp thời báo cáo Bên A khi rủi ro có thể ảnh hưởng đến kết quả tại mốc đánh giá hoặc mục tiêu cuối cùng.</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Điều 4. Đánh giá tại mốc đánh giá và quyết định sau khi đánh giá</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1. Bên A tổ chức đánh giá tại các mốc đánh giá, việc đánh giá tập trung vào kết quả đầu ra, sản phẩm, chỉ tiêu kỹ thuật, tiêu chí cần đạt và bằng chứng kiểm chứng.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 Chậm nhất 10 ngày làm việc trước thời điểm đánh giá, Bên B gửi báo cáo tại mốc đánh giá, hồ sơ kỹ thuật, kết quả đo kiểm, sản phẩm và tài liệu kiểm chứng theo Phụ lục HĐ-02.</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3. Kết quả đánh giá tại mốc đánh giá được ph</w:t>
      </w:r>
      <w:r>
        <w:rPr>
          <w:rFonts w:ascii="Times New Roman" w:hAnsi="Times New Roman"/>
          <w:b w:val="false"/>
          <w:i w:val="false"/>
          <w:caps w:val="false"/>
          <w:smallCaps w:val="false"/>
          <w:color w:val="000000"/>
          <w:spacing w:val="0"/>
          <w:sz w:val="24"/>
          <w:szCs w:val="24"/>
        </w:rPr>
        <w:t>â</w:t>
      </w:r>
      <w:r>
        <w:rPr>
          <w:rFonts w:ascii="Times New Roman" w:hAnsi="Times New Roman"/>
          <w:b w:val="false"/>
          <w:i w:val="false"/>
          <w:caps w:val="false"/>
          <w:smallCaps w:val="false"/>
          <w:color w:val="000000"/>
          <w:spacing w:val="0"/>
          <w:sz w:val="24"/>
          <w:szCs w:val="24"/>
          <w:lang w:val="en-GB"/>
        </w:rPr>
        <w:t>n loại: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a) Đạt: kết quả đáp ứng đầy đủ tiêu chí, chỉ tiêu và yêu cầu tại mốc đánh giá;</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b) Đạt có điều kiện: kết quả cơ bản đáp ứng yêu cầu nhưng phải hoàn thiện nội dung cụ thể trong thời hạn do Bên A quyết định;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c) Không đạt: kết quả không đáp ứng yêu cầu tại mốc đánh giá.</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4. Căn cứ kết quả đánh giá tại mốc, Bên A thực hiện việc cấp kinh phí cho mốc đánh giá tiếp theo hoặc xem xét việc tiếp tục thực hiện nhiệm vụ theo quy định của Hợp đồng và pháp luật có liên quan. Đối với trường hợp đạt có điều kiện, việc cấp kinh phí cho mốc tiếp theo được xem xét sau khi Bên B hoàn thành các nội dung theo yêu cầu của Bên A.</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5. Trường hợp kết quả đánh giá tại mốc không đạt, Bên A xem xét nguyên nhân, mức độ rủi ro và kết quả đã đạt được của nhiệm vụ để quyết định hoặc trình cơ quan có thẩm quyền quyết định việc tạm dừng hoặc chấm dứt thực hiện nhiệm vụ theo quy định.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6. Ngoài trường hợp tạm dừng theo khoản 5 Điều này, nhiệm vụ có thể được tạm dừng thực hiện trong các trường hợp sau đây: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a) Phát sinh rủi ro hoặc sự kiện ảnh hưởng nghiêm trọng đến khả năng tiếp tục thực hiện nhiệm vụ và cần thời gian để đánh giá, xác minh hoặc xử lý;</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b) Bên B vi phạm nghĩa vụ theo Hợp đồng làm ảnh hưởng đến việc thực hiện nhiệm vụ và không khác phục trong thời hạn do Bên A yêu cầu;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c) Có dấu hiệu sử dụng kinh phí sai mục đích hoặc vi phạm pháp luật cần tạm dừng để kiểm tra, xác minh, xử lý;</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d) Trường hợp khác theo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7. Việc tạm dừng thực hiện nhiệm vụ phải xác định rõ lý do, thời điểm tạm dừng, nội dung cần khắc phục hoặc xử lý và thời hạn thực hiện. Căn cứ kết quả khắc phục, xử lý, Bên A quyết định hoặc trình cơ quan có thẩm quyền quyết định việc tiếp tục, điều chỉnh hoặc chấm dứt thực hiện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GB"/>
        </w:rPr>
        <w:t>Điều 5. Quyền và nghĩa vụ của Bên </w:t>
      </w:r>
      <w:r>
        <w:rPr>
          <w:rFonts w:ascii="Times New Roman" w:hAnsi="Times New Roman"/>
          <w:b/>
          <w:i w:val="false"/>
          <w:caps w:val="false"/>
          <w:smallCaps w:val="false"/>
          <w:color w:val="000000"/>
          <w:spacing w:val="0"/>
          <w:sz w:val="24"/>
          <w:szCs w:val="24"/>
        </w:rPr>
        <w:t>A</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1. Cung cấp thông tin, tài liệu và yêu cầu quản lý cần thiết để Bên B thực hiện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 Cấp kinh phí đúng tiến độ khi Bên B đáp ứng điều kiện theo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3. Tổ chức đánh giá tại mốc đánh giá đúng thời hạn; bảo đảm khách quan, bảo mật và không gây cản trở đối với hoạt động nghiên cứu, phát triển.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4. Kiểm tra, giám sát kết quả, tiến độ, rủi ro và việc sử dụng kinh phí theo nguyên tắc quản lý rủi ro; không yêu cầu Bên B quyết toán lại từng khoản chi trong phạm vi kinh phí gói công việc đã giao khoán, trừ trường hợp pháp luật có quy định khác hoặc có dấu hiệu vi phạm.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5. Xem xét, quyết định hoặc trình cấp có thẩm quyền quyết định việc điều chỉnh, tạm dừng, chấm dứt, xử lý kinh phí và tài sản.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6. Bảo vệ bí mật nhà nước; bảo mật bí mật kinh doanh, bí quyết công nghệ, dữ liệu và thông tin khác của Bên B thuộc trường hợp phải bảo mật theo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7. Tổ chức đánh giá cuối kỳ, đánh giá hiệu quả đầu ra của nhiệm vụ, thanh lý Hợp đồng và xử lý kết quả, tài sản theo quy định.</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Điều 6. Quyền và nghĩa vụ của Bên B</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1. Tổ chức thực hiện nhiệm vụ đúng mục tiêu, cấu trúc gói công việc, kết quả đầu ra, chỉ tiêu, mốc đánh giá, tiến độ và kinh phí theo Hợp đồng; lưu giữ hồ sơ, tài liệu, chứng từ.</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 Chủ động triển khai các gói công việc, bố trí và sử dụng nguồn lực, phối hợp với các tổ chức, cá nhân có liên quan để bảo đảm kết quả đầu ra, sản phẩm, chỉ tiêu kỹ thuật và tiến độ tại các mốc đánh giá; chủ động quyết định nội dung chi, mức chi trong phạm vi kinh phí được giao khoán trong mốc đánh giá theo quy định của pháp luật và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Việc điều chỉnh nội dung hoặc kinh phí giữa các gói công việc thuộc các mốc đánh giá khác nhau; thay </w:t>
      </w:r>
      <w:r>
        <w:rPr>
          <w:rFonts w:ascii="Times New Roman" w:hAnsi="Times New Roman"/>
          <w:b w:val="false"/>
          <w:i w:val="false"/>
          <w:caps w:val="false"/>
          <w:smallCaps w:val="false"/>
          <w:color w:val="000000"/>
          <w:spacing w:val="0"/>
          <w:sz w:val="24"/>
          <w:szCs w:val="24"/>
        </w:rPr>
        <w:t>đổ</w:t>
      </w:r>
      <w:r>
        <w:rPr>
          <w:rFonts w:ascii="Times New Roman" w:hAnsi="Times New Roman"/>
          <w:b w:val="false"/>
          <w:i w:val="false"/>
          <w:caps w:val="false"/>
          <w:smallCaps w:val="false"/>
          <w:color w:val="000000"/>
          <w:spacing w:val="0"/>
          <w:sz w:val="24"/>
          <w:szCs w:val="24"/>
          <w:lang w:val="en-GB"/>
        </w:rPr>
        <w:t>i mục tiêu, kết quả đầu ra, sản phẩm, chỉ tiêu đánh giá hoặc mốc đánh giá phải được cơ quan quản lý nhiệm vụ xem xét, quyết định và được thể hiện bằng phụ lục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3. Ký kết hợp đồng giao việc, hợp đồng thuê khoán chuyên môn với chủ nhiệm</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và các cá nhân, tổ chức tham gia thực hiện Hợp đồng theo quy định hiện hành; quản lý và giám sát việc thực hiện đúng quy định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4. Quản lý, sử dụng kinh phí đúng mục đích, tiết kiệm, hiệu quả và theo quy định của pháp luật; bố trí đầy đủ, kịp thời nguồn vốn đối ứng và các nguồn lực đã cam kết.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5. Thực hiện chế độ báo cáo tại các mốc đánh giá; cung cấp đầy đủ kết quả, sản phẩm, hồ sơ, tài liệu và minh chứng phục vụ việc đánh giá.</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6. Cập nhật thông tin về tiến độ, kết quả thực hiện, tình hình sử dụng kinh phí, rủi ro và các vấn đề phát sinh trong quá trình thực hiện nhiệm vụ tối thiểu 01 lần/tháng trên Nền tảng số quản lý nhiệm vụ theo quy định.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7. Thực hiện chế độ báo cáo định kỳ và báo cáo đột xuất theo quy định.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8. Bảo vệ bí mật nhà nước; bảo mật bí mật kinh doanh, bí quyết công nghệ, dữ liệu và thông tin khác thuộc trường hợp phải bảo mật theo quy định của pháp luật; quản lý, sử dụng, khai thác, chuyển giao kết quả, dữ liệu và thực hiện đăng ký xác lập quyền sở hữu trí tuệ theo quy định.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9. Phối hợp với Bên A trong việc kiểm tra, đánh giá tại mốc, đánh giá cuối kỳ và thanh lý Hợp đồng; thực hiện việc xử lý kinh phí, tài sản, dữ liệu và hồ sơ theo kết quả đánh giá, quyết định của cơ quan có thẩm quyền và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10. Chịu trách nhiệm về tính trung thực, chính xác, đầy đủ của hồ sơ, báo cáo, số liệu, thông tin và tài liệu tài chính cung cấp cho bên A; chịu trách nhiệm về tính xác thực của kết quả, sản phẩm của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11. Trường hợp nhiệm vụ phát triển công nghệ chiến lược được tổ chức thực hiện theo hình thức cụm nhiệm vụ hoặc chuỗi nhiệm vụ, Bên B có trách nhiệm ký Hợp đồng thực hiện nhiệm vụ thành phần theo Thỏa thuận liên kết với từng tổ chức chủ trì nhiệm vụ thành phần, trừ nhiệm vụ thành phần do Bên B trực tiếp chủ trì. Bên B chịu trách nhiệm trước Bên A về việc tổ chức, phối hợp thực hiện các nhiệm vụ thành phần và bảo đảm mục tiêu, kết quả, sản phẩm, chỉ tiêu đánh giá và tiến độ chung của cụm nhiệm vụ hoặc chuỗi nhiệm vụ.</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Điều 7. Điều chỉnh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1. Khi phát sinh nhu cầu điều chỉnh Hợp đồng thuộc trường hợp phải được cơ quan quản lý nhiệm vụ xem xét, quyết định, Bên B gửi Bên A đề nghị điều chỉnh, trong đó nêu rõ nội dung, lý do, ảnh hưởng đến việc thực hiện nhiệm vụ và phương án xử lý.</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 Bên A xem xét, quyết định theo thẩm quyền hoặc trình cấp có thẩm quyền xem xét, quyết định.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3. Nội dung điều chỉnh được chấp thuận là căn cứ để các bên ký phụ lục Hợp</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đồng.</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Điều 8. Chấm dứt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Hợp đồng này chấm dứt trong các trường hợp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1. Nhiệm vụ đã hết thời gian thực hiện và được đánh giá cuối kỳ và hoàn tất các thủ tục thanh quyết toán theo quy định.</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 Theo kết quả xử lý quy định tại </w:t>
      </w:r>
      <w:bookmarkStart w:id="3" w:name="tc_17_bm18"/>
      <w:bookmarkEnd w:id="3"/>
      <w:r>
        <w:rPr>
          <w:rFonts w:ascii="Times New Roman" w:hAnsi="Times New Roman"/>
          <w:b w:val="false"/>
          <w:i w:val="false"/>
          <w:caps w:val="false"/>
          <w:smallCaps w:val="false"/>
          <w:strike w:val="false"/>
          <w:dstrike w:val="false"/>
          <w:color w:val="0000FF"/>
          <w:spacing w:val="0"/>
          <w:sz w:val="24"/>
          <w:szCs w:val="24"/>
          <w:u w:val="none"/>
          <w:effect w:val="none"/>
          <w:lang w:val="en-GB"/>
        </w:rPr>
        <w:t>khoản 5 Điều 4 Hợp đồng này</w:t>
      </w:r>
      <w:r>
        <w:rPr>
          <w:rFonts w:ascii="Times New Roman" w:hAnsi="Times New Roman"/>
          <w:b w:val="false"/>
          <w:i w:val="false"/>
          <w:caps w:val="false"/>
          <w:smallCaps w:val="false"/>
          <w:color w:val="000000"/>
          <w:spacing w:val="0"/>
          <w:sz w:val="24"/>
          <w:szCs w:val="24"/>
          <w:lang w:val="en-GB"/>
        </w:rPr>
        <w:t>, cơ quan có thẩm quyền quyết định chấm dứt thực hiện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3. Bên B không được tiếp tục thực hiện nhiệm vụ theo quyết định của cơ quan có</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thẩm quyền.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4. Bên B không gửi hồ sơ đánh giá đầy đủ trong kỳ hoặc cuối kỳ trong thời hạn được quy định.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5. Bên B chủ động đề nghị dừng nhiệm vụ vì lý do chính đáng.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6. Bên A vi phạm một trong các điều kiện dẫn đến nhiệm vụ không thể tiếp tục thực hiện do: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a) Không cấp đủ kinh phí theo tiến độ thực hiện nhiệm vụ mà không có lý do chính </w:t>
      </w:r>
      <w:r>
        <w:rPr>
          <w:rFonts w:ascii="Times New Roman" w:hAnsi="Times New Roman"/>
          <w:b w:val="false"/>
          <w:i w:val="false"/>
          <w:caps w:val="false"/>
          <w:smallCaps w:val="false"/>
          <w:color w:val="000000"/>
          <w:spacing w:val="0"/>
          <w:sz w:val="24"/>
          <w:szCs w:val="24"/>
        </w:rPr>
        <w:t>đ</w:t>
      </w:r>
      <w:r>
        <w:rPr>
          <w:rFonts w:ascii="Times New Roman" w:hAnsi="Times New Roman"/>
          <w:b w:val="false"/>
          <w:i w:val="false"/>
          <w:caps w:val="false"/>
          <w:smallCaps w:val="false"/>
          <w:color w:val="000000"/>
          <w:spacing w:val="0"/>
          <w:sz w:val="24"/>
          <w:szCs w:val="24"/>
          <w:lang w:val="en-GB"/>
        </w:rPr>
        <w:t>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b) Không kịp thời giải quyết những kiến nghị, đề xuất của Bên B theo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7. Trường hợp bất khả kháng hoặc trường hợp khác theo quy định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8. Đối với nhiệm vụ được tổ chức thực hiện theo hình thức cụm nhiệm vụ hoặc chuỗi nhiệm vụ, trường hợp một hoặc một số nhiệm vụ thành phần không thể tiếp tục thực hiện làm ảnh hưởng đến khả năng hoàn thành mục tiêu, kết quả hoặc chỉ tiêu đánh giá chung, Bên B có trách nhiệm đề xuất phương án xử lý để Bên A xem xét, quyết định hoặc trình cơ quan có thẩm quyền quyết định việc điều chỉnh, tiếp tục hoặc chấm dứt thực hiện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9. Quyết định tạm dừng hoặc chấm dứt phải xác định phạm vi công việc, thời điểm, kinh phí được sử dụng, kinh phí phải thu hồi, tài sản, dữ liệu, sản phẩm và nghĩa vụ của các bên.</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Điều 9. Xử lý tài chính, tài sản và kết quả</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1. Khi tạm dừng hoặc chấm dứt Hợp đồng, việc xác định kinh phí được công nhận, kinh phí chưa sử dụng, kinh phí phải thu hồi và nghĩa vụ hoàn trả được thực hiện căn cứ kết quả của từng gói công việc, nguyên nhân, mức độ trách nhiệm của các bên và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 Kết quả đầu ra đã hoàn thành và được chấp nhận tại mốc được ghi nhận, quản lý và xử lý theo Hợp đồng và quy định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3. Tài sản hình thành, dữ liệu, hồ sơ kỹ thuật, quyền sở hữu trí tuệ và sản phẩm dở dang được kiểm kê, bàn giao hoặc xử lý theo quyết định của cơ quan có thẩm quyền.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4. Việc quyết toán, thu hồi và xử lý tài chính không làm thay đổi trách nhiệm dân sự, hành chính hoặc hình sự của tổ chức, cá nhân vi phạm.</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Điều 10. Bảo mật, sở hữu trí tuệ và khai thác kết quả</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1. Các bên có trách nhiệm bảo vệ bí mật nhà nước, bí mật kinh doanh, bí quyết công nghệ, dữ liệu và thông tin thuộc phạm vi bảo mật.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Việc công bố, cung cấp hoặc chuyến giao thông tin, dữ liệu, thiết kế, phần mềm, mẫu thử, nguyên mẫu và kết quả cho bên thứ ba phải tuân thủ nghĩa vụ bảo mật và quyền sở hữu trí tuệ.</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 Bên B ghi nhận nguồn kinh phí của Bên A trong công bố, sản phẩm, hồ sơ đăng ký quyền sở hữu trí tuệ và hoạt động truyền thông, trừ trường hợp có yêu cầu bảo mật.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Điều 11. Giải quyết tranh chấp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1. Tranh chấp phát sinh được ưu tiên giải quyết thông qua thương lượng, hòa giải.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w:t>
      </w:r>
      <w:r>
        <w:rPr>
          <w:rFonts w:ascii="Times New Roman" w:hAnsi="Times New Roman"/>
          <w:b w:val="false"/>
          <w:i w:val="false"/>
          <w:caps w:val="false"/>
          <w:smallCaps w:val="false"/>
          <w:color w:val="000000"/>
          <w:spacing w:val="0"/>
          <w:sz w:val="24"/>
          <w:szCs w:val="24"/>
          <w:lang w:val="en-GB"/>
        </w:rPr>
        <w:t>Trường hợp không giải quyết được bằng thương lượng, các bên lựa chọn một trong các phương thức sau và ghi cụ thể khi ký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a) Giải quyết tại Tòa án có thẩm quyền theo quy định pháp luật; hoặc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b) Giải quyết bằng trọng tài tại... theo quy tắc </w:t>
      </w:r>
      <w:r>
        <w:rPr>
          <w:rFonts w:ascii="Times New Roman" w:hAnsi="Times New Roman"/>
          <w:b w:val="false"/>
          <w:i w:val="false"/>
          <w:caps w:val="false"/>
          <w:smallCaps w:val="false"/>
          <w:color w:val="000000"/>
          <w:spacing w:val="0"/>
          <w:sz w:val="24"/>
          <w:szCs w:val="24"/>
        </w:rPr>
        <w:t>t</w:t>
      </w:r>
      <w:r>
        <w:rPr>
          <w:rFonts w:ascii="Times New Roman" w:hAnsi="Times New Roman"/>
          <w:b w:val="false"/>
          <w:i w:val="false"/>
          <w:caps w:val="false"/>
          <w:smallCaps w:val="false"/>
          <w:color w:val="000000"/>
          <w:spacing w:val="0"/>
          <w:sz w:val="24"/>
          <w:szCs w:val="24"/>
          <w:lang w:val="en-GB"/>
        </w:rPr>
        <w:t>ố tụng trọng tài của tổ chức trọng tài này.</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Điều 12. Hiệu lực và thành phần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1. Hợp đồng có hiệu lực kể từ ngày ... và chấm dứt khi các bên hoàn thành toàn bộ nghĩa vụ hoặc theo quyết định chấm dứt của cơ quan có thẩm quyền.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 Các phụ lục sau là bộ phận không tách rời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a) Phụ lục HĐ-01: Mục tiêu và kết quả của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b) Phụ lục HĐ-02: Danh mục các gói công việc và mốc đánh giá;</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c) Phụ lục HĐ-03: Dự toán kinh phí của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d) Thỏa thuận liên kết nhiệm vụ triển khai theo hình thức cụm nhiệm vụ hoặc chuỗi nhiệm vụ (áp dụng đối với nhiệm vụ thuộc cụm nhiệm vụ hoặc chuỗi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3. Trường hợp có mâu thuẫn giữa điều khoản chính và phụ lục, thực hiện theo điều khoản chính, trừ trường hợp phụ lục sửa đổi được ký sau và nêu rõ nội dung thay thế.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4. Hợp đồng gồm ... trang, được lập thành ... bản có giá trị như nhau; Bên A giữ ... bản, Bên B giữ ... bản; hoặc được ký số theo quy định./.</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4985"/>
        <w:gridCol w:w="4986"/>
      </w:tblGrid>
      <w:tr>
        <w:trPr/>
        <w:tc>
          <w:tcPr>
            <w:tcW w:w="4985"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en-GB"/>
              </w:rPr>
              <w:t>ĐẠI DIỆN BÊN </w:t>
            </w:r>
            <w:r>
              <w:rPr>
                <w:rFonts w:ascii="Times New Roman" w:hAnsi="Times New Roman"/>
                <w:b/>
                <w:sz w:val="24"/>
                <w:szCs w:val="24"/>
              </w:rPr>
              <w:t>A</w:t>
              <w:br/>
            </w:r>
            <w:r>
              <w:rPr>
                <w:rFonts w:ascii="Times New Roman" w:hAnsi="Times New Roman"/>
                <w:i/>
                <w:sz w:val="24"/>
                <w:szCs w:val="24"/>
                <w:lang w:val="en-GB"/>
              </w:rPr>
              <w:t>(Ký, ghi rõ họ, tên và đóng dấu)</w:t>
            </w:r>
          </w:p>
        </w:tc>
        <w:tc>
          <w:tcPr>
            <w:tcW w:w="4986"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en-GB"/>
              </w:rPr>
              <w:t>ĐẠI DIỆN BÊN B</w:t>
            </w:r>
            <w:r>
              <w:rPr>
                <w:rFonts w:ascii="Times New Roman" w:hAnsi="Times New Roman"/>
                <w:b/>
                <w:sz w:val="24"/>
                <w:szCs w:val="24"/>
              </w:rPr>
              <w:br/>
            </w:r>
            <w:r>
              <w:rPr>
                <w:rFonts w:ascii="Times New Roman" w:hAnsi="Times New Roman"/>
                <w:i/>
                <w:sz w:val="24"/>
                <w:szCs w:val="24"/>
                <w:lang w:val="en-GB"/>
              </w:rPr>
              <w:t>(Ký, ghi rõ họ, tên và đóng dấu)</w:t>
            </w:r>
          </w:p>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__________________________</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26 </w:t>
      </w:r>
      <w:r>
        <w:rPr>
          <w:rFonts w:ascii="Times New Roman" w:hAnsi="Times New Roman"/>
          <w:b w:val="false"/>
          <w:i w:val="false"/>
          <w:caps w:val="false"/>
          <w:smallCaps w:val="false"/>
          <w:color w:val="000000"/>
          <w:spacing w:val="0"/>
          <w:sz w:val="24"/>
          <w:szCs w:val="24"/>
          <w:lang w:val="en-GB"/>
        </w:rPr>
        <w:t>Từ nguồn ngân sách nhà nước, không vượt quá 10% tổng dự toán kinh phí từ ngân sách nhà nước thực hiện</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nhiệm vụ.</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PHỤ LỤC HĐ-01</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GB"/>
        </w:rPr>
        <w:t>MỤC TIÊU VÀ KẾT QUẢ CỦA NHIỆM VỤ</w:t>
      </w:r>
      <w:r>
        <w:rPr>
          <w:rFonts w:ascii="Times New Roman" w:hAnsi="Times New Roman"/>
          <w:b/>
          <w:i w:val="false"/>
          <w:caps w:val="false"/>
          <w:smallCaps w:val="false"/>
          <w:color w:val="000000"/>
          <w:spacing w:val="0"/>
          <w:sz w:val="24"/>
          <w:szCs w:val="24"/>
        </w:rPr>
        <w:br/>
      </w:r>
      <w:r>
        <w:rPr>
          <w:rFonts w:ascii="Times New Roman" w:hAnsi="Times New Roman"/>
          <w:b w:val="false"/>
          <w:i/>
          <w:caps w:val="false"/>
          <w:smallCaps w:val="false"/>
          <w:color w:val="000000"/>
          <w:spacing w:val="0"/>
          <w:sz w:val="24"/>
          <w:szCs w:val="24"/>
          <w:lang w:val="en-GB"/>
        </w:rPr>
        <w:t>(Kèm theo Hợp đồng số</w:t>
      </w:r>
      <w:r>
        <w:rPr>
          <w:rFonts w:ascii="Times New Roman" w:hAnsi="Times New Roman"/>
          <w:b w:val="false"/>
          <w:i w:val="false"/>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lang w:val="en-GB"/>
        </w:rPr>
        <w:t>... ngày</w:t>
      </w:r>
      <w:r>
        <w:rPr>
          <w:rFonts w:ascii="Times New Roman" w:hAnsi="Times New Roman"/>
          <w:b w:val="false"/>
          <w:i w:val="false"/>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lang w:val="en-GB"/>
        </w:rPr>
        <w:t>... tháng ... năm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GB"/>
        </w:rPr>
        <w:t>1. Mục tiêu</w:t>
      </w:r>
      <w:r>
        <w:rPr>
          <w:rFonts w:ascii="Times New Roman" w:hAnsi="Times New Roman"/>
          <w:b/>
          <w:i w:val="false"/>
          <w:caps w:val="false"/>
          <w:smallCaps w:val="false"/>
          <w:color w:val="000000"/>
          <w:spacing w:val="0"/>
          <w:sz w:val="24"/>
          <w:szCs w:val="24"/>
        </w:rPr>
        <w:t>27</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1.1. Mục tiêu tổng quát: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1.2. Mục tiêu cụ thể:</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GB"/>
        </w:rPr>
        <w:t>2. Kết quả</w:t>
      </w:r>
      <w:r>
        <w:rPr>
          <w:rFonts w:ascii="Times New Roman" w:hAnsi="Times New Roman"/>
          <w:b/>
          <w:i w:val="false"/>
          <w:caps w:val="false"/>
          <w:smallCaps w:val="false"/>
          <w:color w:val="000000"/>
          <w:spacing w:val="0"/>
          <w:sz w:val="24"/>
          <w:szCs w:val="24"/>
        </w:rPr>
        <w:t>28</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2.1. Sản phẩm, chỉ tiêu đánh giá</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caps w:val="false"/>
          <w:smallCaps w:val="false"/>
          <w:color w:val="000000"/>
          <w:spacing w:val="0"/>
          <w:sz w:val="24"/>
          <w:szCs w:val="24"/>
          <w:lang w:val="en-GB"/>
        </w:rPr>
        <w:t>Làm rõ sản phẩm chính của nhiệm vụ, gồm: tên sản phẩm cụ thể và chỉ tiêu chất lượng chủ y</w:t>
      </w:r>
      <w:r>
        <w:rPr>
          <w:rFonts w:ascii="Times New Roman" w:hAnsi="Times New Roman"/>
          <w:b w:val="false"/>
          <w:i/>
          <w:caps w:val="false"/>
          <w:smallCaps w:val="false"/>
          <w:color w:val="000000"/>
          <w:spacing w:val="0"/>
          <w:sz w:val="24"/>
          <w:szCs w:val="24"/>
        </w:rPr>
        <w:t>ếu</w:t>
      </w:r>
      <w:r>
        <w:rPr>
          <w:rFonts w:ascii="Times New Roman" w:hAnsi="Times New Roman"/>
          <w:b w:val="false"/>
          <w:i w:val="false"/>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lang w:val="en-GB"/>
        </w:rPr>
        <w:t>của sản phẩm; đơn vị đo; mức chất lượng cần đạt theo tiêu chuẩn trong nước và nước ngoài; Dự kiến số lượng/quy mô sản phẩm tạo ra.</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2.2. Công nghệ lõi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caps w:val="false"/>
          <w:smallCaps w:val="false"/>
          <w:color w:val="000000"/>
          <w:spacing w:val="0"/>
          <w:sz w:val="24"/>
          <w:szCs w:val="24"/>
          <w:lang w:val="en-GB"/>
        </w:rPr>
        <w:t>Làm rõ các công nghệ lõi c</w:t>
      </w:r>
      <w:r>
        <w:rPr>
          <w:rFonts w:ascii="Times New Roman" w:hAnsi="Times New Roman"/>
          <w:b w:val="false"/>
          <w:i/>
          <w:caps w:val="false"/>
          <w:smallCaps w:val="false"/>
          <w:color w:val="000000"/>
          <w:spacing w:val="0"/>
          <w:sz w:val="24"/>
          <w:szCs w:val="24"/>
        </w:rPr>
        <w:t>ầ</w:t>
      </w:r>
      <w:r>
        <w:rPr>
          <w:rFonts w:ascii="Times New Roman" w:hAnsi="Times New Roman"/>
          <w:b w:val="false"/>
          <w:i/>
          <w:caps w:val="false"/>
          <w:smallCaps w:val="false"/>
          <w:color w:val="000000"/>
          <w:spacing w:val="0"/>
          <w:sz w:val="24"/>
          <w:szCs w:val="24"/>
          <w:lang w:val="en-GB"/>
        </w:rPr>
        <w:t>n làm chủ, gồm: Tên công nghệ lõi, chỉ tiêu cần đạt.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2.3. Sở hữu trí tuệ</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lang w:val="en-GB"/>
        </w:rPr>
      </w:pPr>
      <w:r>
        <w:rPr>
          <w:rFonts w:ascii="Times New Roman" w:hAnsi="Times New Roman"/>
          <w:b w:val="false"/>
          <w:i/>
          <w:caps w:val="false"/>
          <w:smallCaps w:val="false"/>
          <w:color w:val="000000"/>
          <w:spacing w:val="0"/>
          <w:sz w:val="24"/>
          <w:szCs w:val="24"/>
          <w:lang w:val="en-GB"/>
        </w:rPr>
        <w:t>Làm rõ đối tượng sở hữu trí tuệ được hình thành.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2.4. Công bố khoa học</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lang w:val="en-GB"/>
        </w:rPr>
      </w:pPr>
      <w:r>
        <w:rPr>
          <w:rFonts w:ascii="Times New Roman" w:hAnsi="Times New Roman"/>
          <w:b w:val="false"/>
          <w:i/>
          <w:caps w:val="false"/>
          <w:smallCaps w:val="false"/>
          <w:color w:val="000000"/>
          <w:spacing w:val="0"/>
          <w:sz w:val="24"/>
          <w:szCs w:val="24"/>
          <w:lang w:val="en-GB"/>
        </w:rPr>
        <w:t>Nêu công bố khoa học, gồm: Bài báo; sách chuyên khảo và các sản phẩm khác; số lượng; yêu cầu khoa học cần đạt.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2.5. Kết quả tham gia đào tạo sau đại học</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lang w:val="en-GB"/>
        </w:rPr>
      </w:pPr>
      <w:r>
        <w:rPr>
          <w:rFonts w:ascii="Times New Roman" w:hAnsi="Times New Roman"/>
          <w:b w:val="false"/>
          <w:i/>
          <w:caps w:val="false"/>
          <w:smallCaps w:val="false"/>
          <w:color w:val="000000"/>
          <w:spacing w:val="0"/>
          <w:sz w:val="24"/>
          <w:szCs w:val="24"/>
          <w:lang w:val="en-GB"/>
        </w:rPr>
        <w:t>Nêu kết quả tham gia đào tạo sau đại học (nếu có): Cấp đào tạo, số lượng, chuyên ngành đào tạo.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__________________________</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27 </w:t>
      </w:r>
      <w:r>
        <w:rPr>
          <w:rFonts w:ascii="Times New Roman" w:hAnsi="Times New Roman"/>
          <w:b w:val="false"/>
          <w:i w:val="false"/>
          <w:caps w:val="false"/>
          <w:smallCaps w:val="false"/>
          <w:color w:val="000000"/>
          <w:spacing w:val="0"/>
          <w:sz w:val="24"/>
          <w:szCs w:val="24"/>
          <w:lang w:val="vi-VN"/>
        </w:rPr>
        <w:t>Đối với nhiệm vụ thành phần thuộc cụm nhiệm vụ hoặc chuỗi nhiệm vụ, mục tiêu của nhiệm vụ phải phù hợp với mục tiêu chung của cụm nhiệm vụ hoặc chuỗi nhiệm vụ; xác định rõ phần mục tiêu do nhiệm vụ đảm nhiệm và mối liên hệ với các nhiệm vụ khác trong cụm nhiệm vụ hoặc chuỗi nhiệm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28</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Đối với nhiệm vụ thành phần thuộc cụm nhiệm vụ hoặc chuỗi nhiệm vụ, sản phẩm và chỉ tiêu đánh giá được xác định tương ứng với phần việc của nhiệm vụ; không bắt buộc phản ánh toàn bộ sản phẩm hoặc chỉ tiêu đánh giá cuối cùng của cụm nhiệm vụ hoặc chuỗi nhiệm vụ.</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PHỤ LỤC HĐ-02</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GB"/>
        </w:rPr>
        <w:t>DANH MỤC CÁC GÓI CÔNG VIỆC VÀ M</w:t>
      </w:r>
      <w:r>
        <w:rPr>
          <w:rFonts w:ascii="Times New Roman" w:hAnsi="Times New Roman"/>
          <w:b/>
          <w:i w:val="false"/>
          <w:caps w:val="false"/>
          <w:smallCaps w:val="false"/>
          <w:color w:val="000000"/>
          <w:spacing w:val="0"/>
          <w:sz w:val="24"/>
          <w:szCs w:val="24"/>
        </w:rPr>
        <w:t>Ố</w:t>
      </w:r>
      <w:r>
        <w:rPr>
          <w:rFonts w:ascii="Times New Roman" w:hAnsi="Times New Roman"/>
          <w:b/>
          <w:i w:val="false"/>
          <w:caps w:val="false"/>
          <w:smallCaps w:val="false"/>
          <w:color w:val="000000"/>
          <w:spacing w:val="0"/>
          <w:sz w:val="24"/>
          <w:szCs w:val="24"/>
          <w:lang w:val="en-GB"/>
        </w:rPr>
        <w:t>C ĐÁNH GIÁ</w:t>
      </w:r>
      <w:r>
        <w:rPr>
          <w:rFonts w:ascii="Times New Roman" w:hAnsi="Times New Roman"/>
          <w:b/>
          <w:i w:val="false"/>
          <w:caps w:val="false"/>
          <w:smallCaps w:val="false"/>
          <w:color w:val="000000"/>
          <w:spacing w:val="0"/>
          <w:sz w:val="24"/>
          <w:szCs w:val="24"/>
        </w:rPr>
        <w:br/>
      </w:r>
      <w:r>
        <w:rPr>
          <w:rFonts w:ascii="Times New Roman" w:hAnsi="Times New Roman"/>
          <w:b w:val="false"/>
          <w:i/>
          <w:caps w:val="false"/>
          <w:smallCaps w:val="false"/>
          <w:color w:val="000000"/>
          <w:spacing w:val="0"/>
          <w:sz w:val="24"/>
          <w:szCs w:val="24"/>
          <w:lang w:val="en-GB"/>
        </w:rPr>
        <w:t>(Kèm theo Hợp đồng số</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 </w:t>
      </w:r>
      <w:r>
        <w:rPr>
          <w:rFonts w:ascii="Times New Roman" w:hAnsi="Times New Roman"/>
          <w:b w:val="false"/>
          <w:i/>
          <w:caps w:val="false"/>
          <w:smallCaps w:val="false"/>
          <w:color w:val="000000"/>
          <w:spacing w:val="0"/>
          <w:sz w:val="24"/>
          <w:szCs w:val="24"/>
          <w:lang w:val="en-GB"/>
        </w:rPr>
        <w:t>ngày</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 </w:t>
      </w:r>
      <w:r>
        <w:rPr>
          <w:rFonts w:ascii="Times New Roman" w:hAnsi="Times New Roman"/>
          <w:b w:val="false"/>
          <w:i/>
          <w:caps w:val="false"/>
          <w:smallCaps w:val="false"/>
          <w:color w:val="000000"/>
          <w:spacing w:val="0"/>
          <w:sz w:val="24"/>
          <w:szCs w:val="24"/>
          <w:lang w:val="en-GB"/>
        </w:rPr>
        <w:t>tháng</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 </w:t>
      </w:r>
      <w:r>
        <w:rPr>
          <w:rFonts w:ascii="Times New Roman" w:hAnsi="Times New Roman"/>
          <w:b w:val="false"/>
          <w:i/>
          <w:caps w:val="false"/>
          <w:smallCaps w:val="false"/>
          <w:color w:val="000000"/>
          <w:spacing w:val="0"/>
          <w:sz w:val="24"/>
          <w:szCs w:val="24"/>
          <w:lang w:val="en-GB"/>
        </w:rPr>
        <w:t>năm ...)</w:t>
      </w:r>
    </w:p>
    <w:tbl>
      <w:tblPr>
        <w:tblW w:w="5000" w:type="pct"/>
        <w:jc w:val="start"/>
        <w:tblInd w:w="-10" w:type="dxa"/>
        <w:tblLayout w:type="fixed"/>
        <w:tblCellMar>
          <w:top w:w="28" w:type="dxa"/>
          <w:start w:w="28" w:type="dxa"/>
          <w:bottom w:w="28" w:type="dxa"/>
          <w:end w:w="28" w:type="dxa"/>
        </w:tblCellMar>
      </w:tblPr>
      <w:tblGrid>
        <w:gridCol w:w="3343"/>
        <w:gridCol w:w="677"/>
        <w:gridCol w:w="990"/>
        <w:gridCol w:w="1676"/>
        <w:gridCol w:w="651"/>
        <w:gridCol w:w="618"/>
        <w:gridCol w:w="641"/>
        <w:gridCol w:w="684"/>
        <w:gridCol w:w="692"/>
      </w:tblGrid>
      <w:tr>
        <w:trPr/>
        <w:tc>
          <w:tcPr>
            <w:tcW w:w="3343" w:type="dxa"/>
            <w:vMerge w:val="restart"/>
            <w:tcBorders>
              <w:top w:val="single" w:sz="8" w:space="0" w:color="000000"/>
              <w:start w:val="single" w:sz="8" w:space="0" w:color="000000"/>
              <w:bottom w:val="single" w:sz="8" w:space="0" w:color="000000"/>
              <w:end w:val="single" w:sz="8" w:space="0" w:color="000000"/>
            </w:tcBorders>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en-GB"/>
              </w:rPr>
              <w:t>Mốc</w:t>
            </w:r>
            <w:r>
              <w:rPr>
                <w:rFonts w:ascii="Times New Roman" w:hAnsi="Times New Roman"/>
                <w:sz w:val="24"/>
                <w:szCs w:val="24"/>
              </w:rPr>
              <w:t> </w:t>
            </w:r>
            <w:r>
              <w:rPr>
                <w:rFonts w:ascii="Times New Roman" w:hAnsi="Times New Roman"/>
                <w:b/>
                <w:sz w:val="24"/>
                <w:szCs w:val="24"/>
                <w:lang w:val="en-GB"/>
              </w:rPr>
              <w:t>đánh</w:t>
            </w:r>
            <w:r>
              <w:rPr>
                <w:rFonts w:ascii="Times New Roman" w:hAnsi="Times New Roman"/>
                <w:sz w:val="24"/>
                <w:szCs w:val="24"/>
              </w:rPr>
              <w:t> </w:t>
            </w:r>
            <w:r>
              <w:rPr>
                <w:rFonts w:ascii="Times New Roman" w:hAnsi="Times New Roman"/>
                <w:b/>
                <w:sz w:val="24"/>
                <w:szCs w:val="24"/>
                <w:lang w:val="en-GB"/>
              </w:rPr>
              <w:t>giá/</w:t>
            </w:r>
            <w:r>
              <w:rPr>
                <w:rFonts w:ascii="Times New Roman" w:hAnsi="Times New Roman"/>
                <w:sz w:val="24"/>
                <w:szCs w:val="24"/>
              </w:rPr>
              <w:t> </w:t>
            </w:r>
            <w:r>
              <w:rPr>
                <w:rFonts w:ascii="Times New Roman" w:hAnsi="Times New Roman"/>
                <w:b/>
                <w:sz w:val="24"/>
                <w:szCs w:val="24"/>
                <w:lang w:val="en-GB"/>
              </w:rPr>
              <w:t>Thời</w:t>
            </w:r>
            <w:r>
              <w:rPr>
                <w:rFonts w:ascii="Times New Roman" w:hAnsi="Times New Roman"/>
                <w:sz w:val="24"/>
                <w:szCs w:val="24"/>
              </w:rPr>
              <w:t> </w:t>
            </w:r>
            <w:r>
              <w:rPr>
                <w:rFonts w:ascii="Times New Roman" w:hAnsi="Times New Roman"/>
                <w:b/>
                <w:sz w:val="24"/>
                <w:szCs w:val="24"/>
                <w:lang w:val="en-GB"/>
              </w:rPr>
              <w:t>điểm</w:t>
            </w:r>
            <w:r>
              <w:rPr>
                <w:rFonts w:ascii="Times New Roman" w:hAnsi="Times New Roman"/>
                <w:sz w:val="24"/>
                <w:szCs w:val="24"/>
              </w:rPr>
              <w:t> </w:t>
            </w:r>
            <w:r>
              <w:rPr>
                <w:rFonts w:ascii="Times New Roman" w:hAnsi="Times New Roman"/>
                <w:b/>
                <w:sz w:val="24"/>
                <w:szCs w:val="24"/>
                <w:lang w:val="en-GB"/>
              </w:rPr>
              <w:t>đánh</w:t>
            </w:r>
            <w:r>
              <w:rPr>
                <w:rFonts w:ascii="Times New Roman" w:hAnsi="Times New Roman"/>
                <w:sz w:val="24"/>
                <w:szCs w:val="24"/>
              </w:rPr>
              <w:t> </w:t>
            </w:r>
            <w:r>
              <w:rPr>
                <w:rFonts w:ascii="Times New Roman" w:hAnsi="Times New Roman"/>
                <w:b/>
                <w:sz w:val="24"/>
                <w:szCs w:val="24"/>
                <w:lang w:val="en-GB"/>
              </w:rPr>
              <w:t>giá</w:t>
            </w:r>
          </w:p>
        </w:tc>
        <w:tc>
          <w:tcPr>
            <w:tcW w:w="677" w:type="dxa"/>
            <w:vMerge w:val="restart"/>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4"/>
                <w:szCs w:val="24"/>
                <w:lang w:val="en-GB"/>
              </w:rPr>
            </w:pPr>
            <w:r>
              <w:rPr>
                <w:rFonts w:ascii="Times New Roman" w:hAnsi="Times New Roman"/>
                <w:b/>
                <w:sz w:val="24"/>
                <w:szCs w:val="24"/>
                <w:lang w:val="en-GB"/>
              </w:rPr>
              <w:t>WP</w:t>
            </w:r>
          </w:p>
        </w:tc>
        <w:tc>
          <w:tcPr>
            <w:tcW w:w="990" w:type="dxa"/>
            <w:vMerge w:val="restart"/>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en-GB"/>
              </w:rPr>
              <w:t>Thời gian</w:t>
            </w:r>
            <w:r>
              <w:rPr>
                <w:rFonts w:ascii="Times New Roman" w:hAnsi="Times New Roman"/>
                <w:sz w:val="24"/>
                <w:szCs w:val="24"/>
              </w:rPr>
              <w:t> </w:t>
            </w:r>
            <w:r>
              <w:rPr>
                <w:rFonts w:ascii="Times New Roman" w:hAnsi="Times New Roman"/>
                <w:i/>
                <w:sz w:val="24"/>
                <w:szCs w:val="24"/>
                <w:lang w:val="en-GB"/>
              </w:rPr>
              <w:t>(bắt đầu, kết thúc)</w:t>
            </w:r>
          </w:p>
        </w:tc>
        <w:tc>
          <w:tcPr>
            <w:tcW w:w="1676" w:type="dxa"/>
            <w:vMerge w:val="restart"/>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en-GB"/>
              </w:rPr>
              <w:t>Dự</w:t>
            </w:r>
            <w:r>
              <w:rPr>
                <w:rFonts w:ascii="Times New Roman" w:hAnsi="Times New Roman"/>
                <w:sz w:val="24"/>
                <w:szCs w:val="24"/>
              </w:rPr>
              <w:t> </w:t>
            </w:r>
            <w:r>
              <w:rPr>
                <w:rFonts w:ascii="Times New Roman" w:hAnsi="Times New Roman"/>
                <w:b/>
                <w:sz w:val="24"/>
                <w:szCs w:val="24"/>
                <w:lang w:val="en-GB"/>
              </w:rPr>
              <w:t>kiến</w:t>
            </w:r>
            <w:r>
              <w:rPr>
                <w:rFonts w:ascii="Times New Roman" w:hAnsi="Times New Roman"/>
                <w:sz w:val="24"/>
                <w:szCs w:val="24"/>
              </w:rPr>
              <w:t> </w:t>
            </w:r>
            <w:r>
              <w:rPr>
                <w:rFonts w:ascii="Times New Roman" w:hAnsi="Times New Roman"/>
                <w:b/>
                <w:sz w:val="24"/>
                <w:szCs w:val="24"/>
                <w:lang w:val="en-GB"/>
              </w:rPr>
              <w:t>kinh</w:t>
            </w:r>
            <w:r>
              <w:rPr>
                <w:rFonts w:ascii="Times New Roman" w:hAnsi="Times New Roman"/>
                <w:sz w:val="24"/>
                <w:szCs w:val="24"/>
              </w:rPr>
              <w:t> </w:t>
            </w:r>
            <w:r>
              <w:rPr>
                <w:rFonts w:ascii="Times New Roman" w:hAnsi="Times New Roman"/>
                <w:b/>
                <w:sz w:val="24"/>
                <w:szCs w:val="24"/>
                <w:lang w:val="en-GB"/>
              </w:rPr>
              <w:t>phí</w:t>
            </w:r>
          </w:p>
        </w:tc>
        <w:tc>
          <w:tcPr>
            <w:tcW w:w="651" w:type="dxa"/>
            <w:vMerge w:val="restart"/>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4"/>
                <w:szCs w:val="24"/>
                <w:lang w:val="en-GB"/>
              </w:rPr>
            </w:pPr>
            <w:r>
              <w:rPr>
                <w:rFonts w:ascii="Times New Roman" w:hAnsi="Times New Roman"/>
                <w:b/>
                <w:sz w:val="24"/>
                <w:szCs w:val="24"/>
                <w:lang w:val="en-GB"/>
              </w:rPr>
              <w:t>Kết quả đầu ra, chỉ tiêu kỹ thuật WP</w:t>
            </w:r>
          </w:p>
        </w:tc>
        <w:tc>
          <w:tcPr>
            <w:tcW w:w="1943" w:type="dxa"/>
            <w:gridSpan w:val="3"/>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en-GB"/>
              </w:rPr>
              <w:t>Kinh phí thực hiện của mốc đánh giá </w:t>
            </w:r>
            <w:r>
              <w:rPr>
                <w:rFonts w:ascii="Times New Roman" w:hAnsi="Times New Roman"/>
                <w:i/>
                <w:sz w:val="24"/>
                <w:szCs w:val="24"/>
                <w:lang w:val="en-GB"/>
              </w:rPr>
              <w:t>(triệu đồng)</w:t>
            </w:r>
          </w:p>
        </w:tc>
        <w:tc>
          <w:tcPr>
            <w:tcW w:w="692" w:type="dxa"/>
            <w:vMerge w:val="restart"/>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en-GB"/>
              </w:rPr>
              <w:t>Kết quả đầu ra trong mốc đánh giá</w:t>
            </w:r>
            <w:r>
              <w:rPr>
                <w:rFonts w:ascii="Times New Roman" w:hAnsi="Times New Roman"/>
                <w:b/>
                <w:sz w:val="24"/>
                <w:szCs w:val="24"/>
              </w:rPr>
              <w:t>29</w:t>
            </w:r>
          </w:p>
        </w:tc>
      </w:tr>
      <w:tr>
        <w:trPr/>
        <w:tc>
          <w:tcPr>
            <w:tcW w:w="3343" w:type="dxa"/>
            <w:vMerge w:val="continue"/>
            <w:tcBorders>
              <w:top w:val="single" w:sz="8" w:space="0" w:color="000000"/>
              <w:start w:val="single" w:sz="8" w:space="0" w:color="000000"/>
              <w:bottom w:val="single" w:sz="8" w:space="0" w:color="000000"/>
              <w:end w:val="single" w:sz="8" w:space="0" w:color="000000"/>
            </w:tcBorders>
            <w:vAlign w:val="center"/>
          </w:tcPr>
          <w:p>
            <w:pPr>
              <w:pStyle w:val="Nidungbng"/>
              <w:bidi w:val="0"/>
              <w:jc w:val="start"/>
              <w:rPr>
                <w:rFonts w:ascii="Times New Roman" w:hAnsi="Times New Roman"/>
                <w:sz w:val="24"/>
                <w:szCs w:val="24"/>
              </w:rPr>
            </w:pPr>
            <w:r>
              <w:rPr>
                <w:rFonts w:ascii="Times New Roman" w:hAnsi="Times New Roman"/>
                <w:sz w:val="24"/>
                <w:szCs w:val="24"/>
              </w:rPr>
            </w:r>
          </w:p>
        </w:tc>
        <w:tc>
          <w:tcPr>
            <w:tcW w:w="677" w:type="dxa"/>
            <w:vMerge w:val="continue"/>
            <w:tcBorders>
              <w:top w:val="single" w:sz="8" w:space="0" w:color="000000"/>
              <w:bottom w:val="single" w:sz="8" w:space="0" w:color="000000"/>
              <w:end w:val="single" w:sz="8" w:space="0" w:color="000000"/>
            </w:tcBorders>
            <w:tcMar>
              <w:start w:w="0" w:type="dxa"/>
            </w:tcMar>
            <w:vAlign w:val="center"/>
          </w:tcPr>
          <w:p>
            <w:pPr>
              <w:pStyle w:val="Nidungbng"/>
              <w:bidi w:val="0"/>
              <w:jc w:val="start"/>
              <w:rPr>
                <w:rFonts w:ascii="Times New Roman" w:hAnsi="Times New Roman"/>
                <w:sz w:val="24"/>
                <w:szCs w:val="24"/>
              </w:rPr>
            </w:pPr>
            <w:r>
              <w:rPr>
                <w:rFonts w:ascii="Times New Roman" w:hAnsi="Times New Roman"/>
                <w:sz w:val="24"/>
                <w:szCs w:val="24"/>
              </w:rPr>
            </w:r>
          </w:p>
        </w:tc>
        <w:tc>
          <w:tcPr>
            <w:tcW w:w="990" w:type="dxa"/>
            <w:vMerge w:val="continue"/>
            <w:tcBorders>
              <w:top w:val="single" w:sz="8" w:space="0" w:color="000000"/>
              <w:bottom w:val="single" w:sz="8" w:space="0" w:color="000000"/>
              <w:end w:val="single" w:sz="8" w:space="0" w:color="000000"/>
            </w:tcBorders>
            <w:tcMar>
              <w:start w:w="0" w:type="dxa"/>
            </w:tcMar>
            <w:vAlign w:val="center"/>
          </w:tcPr>
          <w:p>
            <w:pPr>
              <w:pStyle w:val="Nidungbng"/>
              <w:bidi w:val="0"/>
              <w:jc w:val="start"/>
              <w:rPr>
                <w:rFonts w:ascii="Times New Roman" w:hAnsi="Times New Roman"/>
                <w:sz w:val="24"/>
                <w:szCs w:val="24"/>
              </w:rPr>
            </w:pPr>
            <w:r>
              <w:rPr>
                <w:rFonts w:ascii="Times New Roman" w:hAnsi="Times New Roman"/>
                <w:sz w:val="24"/>
                <w:szCs w:val="24"/>
              </w:rPr>
            </w:r>
          </w:p>
        </w:tc>
        <w:tc>
          <w:tcPr>
            <w:tcW w:w="1676" w:type="dxa"/>
            <w:vMerge w:val="continue"/>
            <w:tcBorders>
              <w:top w:val="single" w:sz="8" w:space="0" w:color="000000"/>
              <w:bottom w:val="single" w:sz="8" w:space="0" w:color="000000"/>
              <w:end w:val="single" w:sz="8" w:space="0" w:color="000000"/>
            </w:tcBorders>
            <w:tcMar>
              <w:start w:w="0" w:type="dxa"/>
            </w:tcMar>
            <w:vAlign w:val="center"/>
          </w:tcPr>
          <w:p>
            <w:pPr>
              <w:pStyle w:val="Nidungbng"/>
              <w:bidi w:val="0"/>
              <w:jc w:val="start"/>
              <w:rPr>
                <w:rFonts w:ascii="Times New Roman" w:hAnsi="Times New Roman"/>
                <w:sz w:val="24"/>
                <w:szCs w:val="24"/>
              </w:rPr>
            </w:pPr>
            <w:r>
              <w:rPr>
                <w:rFonts w:ascii="Times New Roman" w:hAnsi="Times New Roman"/>
                <w:sz w:val="24"/>
                <w:szCs w:val="24"/>
              </w:rPr>
            </w:r>
          </w:p>
        </w:tc>
        <w:tc>
          <w:tcPr>
            <w:tcW w:w="651" w:type="dxa"/>
            <w:vMerge w:val="continue"/>
            <w:tcBorders>
              <w:top w:val="single" w:sz="8" w:space="0" w:color="000000"/>
              <w:bottom w:val="single" w:sz="8" w:space="0" w:color="000000"/>
              <w:end w:val="single" w:sz="8" w:space="0" w:color="000000"/>
            </w:tcBorders>
            <w:tcMar>
              <w:start w:w="0" w:type="dxa"/>
            </w:tcMar>
            <w:vAlign w:val="center"/>
          </w:tcPr>
          <w:p>
            <w:pPr>
              <w:pStyle w:val="Nidungbng"/>
              <w:bidi w:val="0"/>
              <w:jc w:val="start"/>
              <w:rPr>
                <w:rFonts w:ascii="Times New Roman" w:hAnsi="Times New Roman"/>
                <w:sz w:val="24"/>
                <w:szCs w:val="24"/>
              </w:rPr>
            </w:pPr>
            <w:r>
              <w:rPr>
                <w:rFonts w:ascii="Times New Roman" w:hAnsi="Times New Roman"/>
                <w:sz w:val="24"/>
                <w:szCs w:val="24"/>
              </w:rPr>
            </w:r>
          </w:p>
        </w:tc>
        <w:tc>
          <w:tcPr>
            <w:tcW w:w="61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lang w:val="en-GB"/>
              </w:rPr>
            </w:pPr>
            <w:r>
              <w:rPr>
                <w:rFonts w:ascii="Times New Roman" w:hAnsi="Times New Roman"/>
                <w:sz w:val="24"/>
                <w:szCs w:val="24"/>
                <w:lang w:val="en-GB"/>
              </w:rPr>
              <w:t>Tổng kinh phí</w:t>
            </w:r>
          </w:p>
        </w:tc>
        <w:tc>
          <w:tcPr>
            <w:tcW w:w="64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lang w:val="en-GB"/>
              </w:rPr>
            </w:pPr>
            <w:r>
              <w:rPr>
                <w:rFonts w:ascii="Times New Roman" w:hAnsi="Times New Roman"/>
                <w:sz w:val="24"/>
                <w:szCs w:val="24"/>
                <w:lang w:val="en-GB"/>
              </w:rPr>
              <w:t>Ngân sách nhà nước</w:t>
            </w:r>
          </w:p>
        </w:tc>
        <w:tc>
          <w:tcPr>
            <w:tcW w:w="684"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lang w:val="en-GB"/>
              </w:rPr>
            </w:pPr>
            <w:r>
              <w:rPr>
                <w:rFonts w:ascii="Times New Roman" w:hAnsi="Times New Roman"/>
                <w:sz w:val="24"/>
                <w:szCs w:val="24"/>
                <w:lang w:val="en-GB"/>
              </w:rPr>
              <w:t>Ngoài ngân sách nhà nước</w:t>
            </w:r>
          </w:p>
        </w:tc>
        <w:tc>
          <w:tcPr>
            <w:tcW w:w="692" w:type="dxa"/>
            <w:vMerge w:val="continue"/>
            <w:tcBorders>
              <w:top w:val="single" w:sz="8" w:space="0" w:color="000000"/>
              <w:bottom w:val="single" w:sz="8" w:space="0" w:color="000000"/>
              <w:end w:val="single" w:sz="8" w:space="0" w:color="000000"/>
            </w:tcBorders>
            <w:tcMar>
              <w:start w:w="0" w:type="dxa"/>
            </w:tcMar>
            <w:vAlign w:val="center"/>
          </w:tcPr>
          <w:p>
            <w:pPr>
              <w:pStyle w:val="Nidungbng"/>
              <w:bidi w:val="0"/>
              <w:jc w:val="start"/>
              <w:rPr>
                <w:rFonts w:ascii="Times New Roman" w:hAnsi="Times New Roman"/>
                <w:sz w:val="24"/>
                <w:szCs w:val="24"/>
              </w:rPr>
            </w:pPr>
            <w:r>
              <w:rPr>
                <w:rFonts w:ascii="Times New Roman" w:hAnsi="Times New Roman"/>
                <w:sz w:val="24"/>
                <w:szCs w:val="24"/>
              </w:rPr>
            </w:r>
          </w:p>
        </w:tc>
      </w:tr>
      <w:tr>
        <w:trPr/>
        <w:tc>
          <w:tcPr>
            <w:tcW w:w="3343" w:type="dxa"/>
            <w:vMerge w:val="restart"/>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lang w:val="en-GB"/>
              </w:rPr>
              <w:t>M1/</w:t>
            </w:r>
            <w:r>
              <w:rPr>
                <w:rFonts w:ascii="Times New Roman" w:hAnsi="Times New Roman"/>
                <w:sz w:val="24"/>
                <w:szCs w:val="24"/>
              </w:rPr>
              <w:t> </w:t>
            </w:r>
            <w:r>
              <w:rPr>
                <w:rFonts w:ascii="Times New Roman" w:hAnsi="Times New Roman"/>
                <w:sz w:val="24"/>
                <w:szCs w:val="24"/>
                <w:lang w:val="en-GB"/>
              </w:rPr>
              <w:t>Thời</w:t>
            </w:r>
            <w:r>
              <w:rPr>
                <w:rFonts w:ascii="Times New Roman" w:hAnsi="Times New Roman"/>
                <w:sz w:val="24"/>
                <w:szCs w:val="24"/>
              </w:rPr>
              <w:t> </w:t>
            </w:r>
            <w:r>
              <w:rPr>
                <w:rFonts w:ascii="Times New Roman" w:hAnsi="Times New Roman"/>
                <w:sz w:val="24"/>
                <w:szCs w:val="24"/>
                <w:lang w:val="en-GB"/>
              </w:rPr>
              <w:t>điểm</w:t>
            </w:r>
          </w:p>
        </w:tc>
        <w:tc>
          <w:tcPr>
            <w:tcW w:w="67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lang w:val="en-GB"/>
              </w:rPr>
            </w:pPr>
            <w:r>
              <w:rPr>
                <w:rFonts w:ascii="Times New Roman" w:hAnsi="Times New Roman"/>
                <w:sz w:val="24"/>
                <w:szCs w:val="24"/>
                <w:lang w:val="en-GB"/>
              </w:rPr>
              <w:t>WP 1</w:t>
            </w:r>
          </w:p>
        </w:tc>
        <w:tc>
          <w:tcPr>
            <w:tcW w:w="99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67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5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1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4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84"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9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3343" w:type="dxa"/>
            <w:vMerge w:val="continue"/>
            <w:tcBorders>
              <w:bottom w:val="single" w:sz="8" w:space="0" w:color="000000"/>
              <w:end w:val="single" w:sz="8" w:space="0" w:color="000000"/>
            </w:tcBorders>
            <w:tcMar>
              <w:top w:w="0" w:type="dxa"/>
              <w:start w:w="0" w:type="dxa"/>
            </w:tcMar>
            <w:vAlign w:val="center"/>
          </w:tcPr>
          <w:p>
            <w:pPr>
              <w:pStyle w:val="Nidungbng"/>
              <w:bidi w:val="0"/>
              <w:jc w:val="start"/>
              <w:rPr>
                <w:rFonts w:ascii="Times New Roman" w:hAnsi="Times New Roman"/>
                <w:sz w:val="24"/>
                <w:szCs w:val="24"/>
              </w:rPr>
            </w:pPr>
            <w:r>
              <w:rPr>
                <w:rFonts w:ascii="Times New Roman" w:hAnsi="Times New Roman"/>
                <w:sz w:val="24"/>
                <w:szCs w:val="24"/>
              </w:rPr>
            </w:r>
          </w:p>
        </w:tc>
        <w:tc>
          <w:tcPr>
            <w:tcW w:w="67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99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67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5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1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4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84"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9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3343" w:type="dxa"/>
            <w:vMerge w:val="continue"/>
            <w:tcBorders>
              <w:bottom w:val="single" w:sz="8" w:space="0" w:color="000000"/>
              <w:end w:val="single" w:sz="8" w:space="0" w:color="000000"/>
            </w:tcBorders>
            <w:tcMar>
              <w:top w:w="0" w:type="dxa"/>
              <w:start w:w="0" w:type="dxa"/>
            </w:tcMar>
            <w:vAlign w:val="center"/>
          </w:tcPr>
          <w:p>
            <w:pPr>
              <w:pStyle w:val="Nidungbng"/>
              <w:bidi w:val="0"/>
              <w:jc w:val="start"/>
              <w:rPr>
                <w:rFonts w:ascii="Times New Roman" w:hAnsi="Times New Roman"/>
                <w:sz w:val="24"/>
                <w:szCs w:val="24"/>
              </w:rPr>
            </w:pPr>
            <w:r>
              <w:rPr>
                <w:rFonts w:ascii="Times New Roman" w:hAnsi="Times New Roman"/>
                <w:sz w:val="24"/>
                <w:szCs w:val="24"/>
              </w:rPr>
            </w:r>
          </w:p>
        </w:tc>
        <w:tc>
          <w:tcPr>
            <w:tcW w:w="67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99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67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5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1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4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84"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9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3343" w:type="dxa"/>
            <w:vMerge w:val="continue"/>
            <w:tcBorders>
              <w:bottom w:val="single" w:sz="8" w:space="0" w:color="000000"/>
              <w:end w:val="single" w:sz="8" w:space="0" w:color="000000"/>
            </w:tcBorders>
            <w:tcMar>
              <w:top w:w="0" w:type="dxa"/>
              <w:start w:w="0" w:type="dxa"/>
            </w:tcMar>
            <w:vAlign w:val="center"/>
          </w:tcPr>
          <w:p>
            <w:pPr>
              <w:pStyle w:val="Nidungbng"/>
              <w:bidi w:val="0"/>
              <w:jc w:val="start"/>
              <w:rPr>
                <w:rFonts w:ascii="Times New Roman" w:hAnsi="Times New Roman"/>
                <w:sz w:val="24"/>
                <w:szCs w:val="24"/>
              </w:rPr>
            </w:pPr>
            <w:r>
              <w:rPr>
                <w:rFonts w:ascii="Times New Roman" w:hAnsi="Times New Roman"/>
                <w:sz w:val="24"/>
                <w:szCs w:val="24"/>
              </w:rPr>
            </w:r>
          </w:p>
        </w:tc>
        <w:tc>
          <w:tcPr>
            <w:tcW w:w="67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w:t>
            </w:r>
          </w:p>
        </w:tc>
        <w:tc>
          <w:tcPr>
            <w:tcW w:w="99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67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5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1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4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84"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9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3343" w:type="dxa"/>
            <w:vMerge w:val="continue"/>
            <w:tcBorders>
              <w:bottom w:val="single" w:sz="8" w:space="0" w:color="000000"/>
              <w:end w:val="single" w:sz="8" w:space="0" w:color="000000"/>
            </w:tcBorders>
            <w:tcMar>
              <w:top w:w="0" w:type="dxa"/>
              <w:start w:w="0" w:type="dxa"/>
            </w:tcMar>
            <w:vAlign w:val="center"/>
          </w:tcPr>
          <w:p>
            <w:pPr>
              <w:pStyle w:val="Nidungbng"/>
              <w:bidi w:val="0"/>
              <w:jc w:val="start"/>
              <w:rPr>
                <w:rFonts w:ascii="Times New Roman" w:hAnsi="Times New Roman"/>
                <w:sz w:val="24"/>
                <w:szCs w:val="24"/>
              </w:rPr>
            </w:pPr>
            <w:r>
              <w:rPr>
                <w:rFonts w:ascii="Times New Roman" w:hAnsi="Times New Roman"/>
                <w:sz w:val="24"/>
                <w:szCs w:val="24"/>
              </w:rPr>
            </w:r>
          </w:p>
        </w:tc>
        <w:tc>
          <w:tcPr>
            <w:tcW w:w="67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WP2</w:t>
            </w:r>
          </w:p>
        </w:tc>
        <w:tc>
          <w:tcPr>
            <w:tcW w:w="99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67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5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1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4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84"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9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3343" w:type="dxa"/>
            <w:vMerge w:val="continue"/>
            <w:tcBorders>
              <w:bottom w:val="single" w:sz="8" w:space="0" w:color="000000"/>
              <w:end w:val="single" w:sz="8" w:space="0" w:color="000000"/>
            </w:tcBorders>
            <w:tcMar>
              <w:top w:w="0" w:type="dxa"/>
              <w:start w:w="0" w:type="dxa"/>
            </w:tcMar>
            <w:vAlign w:val="center"/>
          </w:tcPr>
          <w:p>
            <w:pPr>
              <w:pStyle w:val="Nidungbng"/>
              <w:bidi w:val="0"/>
              <w:jc w:val="start"/>
              <w:rPr>
                <w:rFonts w:ascii="Times New Roman" w:hAnsi="Times New Roman"/>
                <w:sz w:val="24"/>
                <w:szCs w:val="24"/>
              </w:rPr>
            </w:pPr>
            <w:r>
              <w:rPr>
                <w:rFonts w:ascii="Times New Roman" w:hAnsi="Times New Roman"/>
                <w:sz w:val="24"/>
                <w:szCs w:val="24"/>
              </w:rPr>
            </w:r>
          </w:p>
        </w:tc>
        <w:tc>
          <w:tcPr>
            <w:tcW w:w="67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99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67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5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1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4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84"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9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3343" w:type="dxa"/>
            <w:vMerge w:val="continue"/>
            <w:tcBorders>
              <w:bottom w:val="single" w:sz="8" w:space="0" w:color="000000"/>
              <w:end w:val="single" w:sz="8" w:space="0" w:color="000000"/>
            </w:tcBorders>
            <w:tcMar>
              <w:top w:w="0" w:type="dxa"/>
              <w:start w:w="0" w:type="dxa"/>
            </w:tcMar>
            <w:vAlign w:val="center"/>
          </w:tcPr>
          <w:p>
            <w:pPr>
              <w:pStyle w:val="Nidungbng"/>
              <w:bidi w:val="0"/>
              <w:jc w:val="start"/>
              <w:rPr>
                <w:rFonts w:ascii="Times New Roman" w:hAnsi="Times New Roman"/>
                <w:sz w:val="24"/>
                <w:szCs w:val="24"/>
              </w:rPr>
            </w:pPr>
            <w:r>
              <w:rPr>
                <w:rFonts w:ascii="Times New Roman" w:hAnsi="Times New Roman"/>
                <w:sz w:val="24"/>
                <w:szCs w:val="24"/>
              </w:rPr>
            </w:r>
          </w:p>
        </w:tc>
        <w:tc>
          <w:tcPr>
            <w:tcW w:w="67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99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67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5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1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4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84"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9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3343" w:type="dxa"/>
            <w:vMerge w:val="continue"/>
            <w:tcBorders>
              <w:bottom w:val="single" w:sz="8" w:space="0" w:color="000000"/>
              <w:end w:val="single" w:sz="8" w:space="0" w:color="000000"/>
            </w:tcBorders>
            <w:tcMar>
              <w:top w:w="0" w:type="dxa"/>
              <w:start w:w="0" w:type="dxa"/>
            </w:tcMar>
            <w:vAlign w:val="center"/>
          </w:tcPr>
          <w:p>
            <w:pPr>
              <w:pStyle w:val="Nidungbng"/>
              <w:bidi w:val="0"/>
              <w:jc w:val="start"/>
              <w:rPr>
                <w:rFonts w:ascii="Times New Roman" w:hAnsi="Times New Roman"/>
                <w:sz w:val="24"/>
                <w:szCs w:val="24"/>
              </w:rPr>
            </w:pPr>
            <w:r>
              <w:rPr>
                <w:rFonts w:ascii="Times New Roman" w:hAnsi="Times New Roman"/>
                <w:sz w:val="24"/>
                <w:szCs w:val="24"/>
              </w:rPr>
            </w:r>
          </w:p>
        </w:tc>
        <w:tc>
          <w:tcPr>
            <w:tcW w:w="67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99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67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5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1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4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84"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9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3343" w:type="dxa"/>
            <w:vMerge w:val="restart"/>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lang w:val="en-GB"/>
              </w:rPr>
            </w:pPr>
            <w:r>
              <w:rPr>
                <w:rFonts w:ascii="Times New Roman" w:hAnsi="Times New Roman"/>
                <w:sz w:val="24"/>
                <w:szCs w:val="24"/>
                <w:lang w:val="en-GB"/>
              </w:rPr>
              <w:t>M...</w:t>
            </w:r>
          </w:p>
        </w:tc>
        <w:tc>
          <w:tcPr>
            <w:tcW w:w="67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lang w:val="en-GB"/>
              </w:rPr>
            </w:pPr>
            <w:r>
              <w:rPr>
                <w:rFonts w:ascii="Times New Roman" w:hAnsi="Times New Roman"/>
                <w:sz w:val="24"/>
                <w:szCs w:val="24"/>
                <w:lang w:val="en-GB"/>
              </w:rPr>
              <w:t>WP ...</w:t>
            </w:r>
          </w:p>
        </w:tc>
        <w:tc>
          <w:tcPr>
            <w:tcW w:w="99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67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5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1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4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84"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9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3343" w:type="dxa"/>
            <w:vMerge w:val="continue"/>
            <w:tcBorders>
              <w:bottom w:val="single" w:sz="8" w:space="0" w:color="000000"/>
              <w:end w:val="single" w:sz="8" w:space="0" w:color="000000"/>
            </w:tcBorders>
            <w:tcMar>
              <w:top w:w="0" w:type="dxa"/>
              <w:start w:w="0" w:type="dxa"/>
            </w:tcMar>
            <w:vAlign w:val="center"/>
          </w:tcPr>
          <w:p>
            <w:pPr>
              <w:pStyle w:val="Nidungbng"/>
              <w:bidi w:val="0"/>
              <w:jc w:val="start"/>
              <w:rPr>
                <w:rFonts w:ascii="Times New Roman" w:hAnsi="Times New Roman"/>
                <w:sz w:val="24"/>
                <w:szCs w:val="24"/>
              </w:rPr>
            </w:pPr>
            <w:r>
              <w:rPr>
                <w:rFonts w:ascii="Times New Roman" w:hAnsi="Times New Roman"/>
                <w:sz w:val="24"/>
                <w:szCs w:val="24"/>
              </w:rPr>
            </w:r>
          </w:p>
        </w:tc>
        <w:tc>
          <w:tcPr>
            <w:tcW w:w="67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w:t>
            </w:r>
          </w:p>
        </w:tc>
        <w:tc>
          <w:tcPr>
            <w:tcW w:w="99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67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5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1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4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84"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9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lang w:val="en-GB"/>
        </w:rPr>
      </w:pPr>
      <w:r>
        <w:rPr>
          <w:rFonts w:ascii="Times New Roman" w:hAnsi="Times New Roman"/>
          <w:b w:val="false"/>
          <w:i/>
          <w:caps w:val="false"/>
          <w:smallCaps w:val="false"/>
          <w:color w:val="000000"/>
          <w:spacing w:val="0"/>
          <w:sz w:val="24"/>
          <w:szCs w:val="24"/>
          <w:lang w:val="en-GB"/>
        </w:rPr>
        <w:t>(Ghi chú: Phương án xử lý sau mốc đánh giá có thể gồm: xác nhận hoàn thành; cấp tiếp kinh phí; hoàn thiện có thời hạn; điều chỉnh; tạm dừng; hoặc chấm dứt nhiệm vụ).</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__________________________</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29 </w:t>
      </w:r>
      <w:r>
        <w:rPr>
          <w:rFonts w:ascii="Times New Roman" w:hAnsi="Times New Roman"/>
          <w:b w:val="false"/>
          <w:i/>
          <w:caps w:val="false"/>
          <w:smallCaps w:val="false"/>
          <w:color w:val="000000"/>
          <w:spacing w:val="0"/>
          <w:sz w:val="24"/>
          <w:szCs w:val="24"/>
          <w:lang w:val="en-GB"/>
        </w:rPr>
        <w:t>Cần xác định rõ thời điểm đánh giá; gói công việc hoặc các gói công việc được đánh giá; kết quả đầu ra, sản phẩm hoặc chi tiêu kỹ thuật phái hoàn thành của từng gói công việc trong mốc đánh giá; kinh phí tương ứng với mốc đánh giá</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lang w:val="en-GB"/>
        </w:rPr>
      </w:pPr>
      <w:r>
        <w:rPr>
          <w:rFonts w:ascii="Times New Roman" w:hAnsi="Times New Roman"/>
          <w:b/>
          <w:i w:val="false"/>
          <w:caps w:val="false"/>
          <w:smallCaps w:val="false"/>
          <w:color w:val="000000"/>
          <w:spacing w:val="0"/>
          <w:sz w:val="24"/>
          <w:szCs w:val="24"/>
          <w:lang w:val="en-GB"/>
        </w:rPr>
        <w:t>PHỤ LỤC HĐ-03</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en-GB"/>
        </w:rPr>
        <w:t>DỰ TOÁN KINH PHÍ THỰC HIỆN NHIỆM VỤ</w:t>
      </w:r>
      <w:r>
        <w:rPr>
          <w:rFonts w:ascii="Times New Roman" w:hAnsi="Times New Roman"/>
          <w:b/>
          <w:i w:val="false"/>
          <w:caps w:val="false"/>
          <w:smallCaps w:val="false"/>
          <w:color w:val="000000"/>
          <w:spacing w:val="0"/>
          <w:sz w:val="24"/>
          <w:szCs w:val="24"/>
        </w:rPr>
        <w:br/>
      </w:r>
      <w:r>
        <w:rPr>
          <w:rFonts w:ascii="Times New Roman" w:hAnsi="Times New Roman"/>
          <w:b w:val="false"/>
          <w:i/>
          <w:caps w:val="false"/>
          <w:smallCaps w:val="false"/>
          <w:color w:val="000000"/>
          <w:spacing w:val="0"/>
          <w:sz w:val="24"/>
          <w:szCs w:val="24"/>
          <w:lang w:val="en-GB"/>
        </w:rPr>
        <w:t>(Kèm theo Hợp đồng số</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 </w:t>
      </w:r>
      <w:r>
        <w:rPr>
          <w:rFonts w:ascii="Times New Roman" w:hAnsi="Times New Roman"/>
          <w:b w:val="false"/>
          <w:i/>
          <w:caps w:val="false"/>
          <w:smallCaps w:val="false"/>
          <w:color w:val="000000"/>
          <w:spacing w:val="0"/>
          <w:sz w:val="24"/>
          <w:szCs w:val="24"/>
          <w:lang w:val="en-GB"/>
        </w:rPr>
        <w:t>ngày</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 </w:t>
      </w:r>
      <w:r>
        <w:rPr>
          <w:rFonts w:ascii="Times New Roman" w:hAnsi="Times New Roman"/>
          <w:b w:val="false"/>
          <w:i/>
          <w:caps w:val="false"/>
          <w:smallCaps w:val="false"/>
          <w:color w:val="000000"/>
          <w:spacing w:val="0"/>
          <w:sz w:val="24"/>
          <w:szCs w:val="24"/>
          <w:lang w:val="en-GB"/>
        </w:rPr>
        <w:t>tháng</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 </w:t>
      </w:r>
      <w:r>
        <w:rPr>
          <w:rFonts w:ascii="Times New Roman" w:hAnsi="Times New Roman"/>
          <w:b w:val="false"/>
          <w:i/>
          <w:caps w:val="false"/>
          <w:smallCaps w:val="false"/>
          <w:color w:val="000000"/>
          <w:spacing w:val="0"/>
          <w:sz w:val="24"/>
          <w:szCs w:val="24"/>
          <w:lang w:val="en-GB"/>
        </w:rPr>
        <w:t>năm ...)</w:t>
      </w:r>
    </w:p>
    <w:tbl>
      <w:tblPr>
        <w:tblW w:w="5000" w:type="pct"/>
        <w:jc w:val="start"/>
        <w:tblInd w:w="-10" w:type="dxa"/>
        <w:tblLayout w:type="fixed"/>
        <w:tblCellMar>
          <w:top w:w="28" w:type="dxa"/>
          <w:start w:w="28" w:type="dxa"/>
          <w:bottom w:w="28" w:type="dxa"/>
          <w:end w:w="28" w:type="dxa"/>
        </w:tblCellMar>
      </w:tblPr>
      <w:tblGrid>
        <w:gridCol w:w="1127"/>
        <w:gridCol w:w="690"/>
        <w:gridCol w:w="830"/>
        <w:gridCol w:w="736"/>
        <w:gridCol w:w="981"/>
        <w:gridCol w:w="1298"/>
        <w:gridCol w:w="1966"/>
        <w:gridCol w:w="622"/>
        <w:gridCol w:w="1722"/>
      </w:tblGrid>
      <w:tr>
        <w:trPr/>
        <w:tc>
          <w:tcPr>
            <w:tcW w:w="1127" w:type="dxa"/>
            <w:vMerge w:val="restart"/>
            <w:tcBorders>
              <w:top w:val="single" w:sz="8" w:space="0" w:color="000000"/>
              <w:start w:val="single" w:sz="8" w:space="0" w:color="000000"/>
              <w:bottom w:val="single" w:sz="8" w:space="0" w:color="000000"/>
              <w:end w:val="single" w:sz="8" w:space="0" w:color="000000"/>
            </w:tcBorders>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en-GB"/>
              </w:rPr>
              <w:t>Gói công việc</w:t>
            </w:r>
            <w:r>
              <w:rPr>
                <w:rFonts w:ascii="Times New Roman" w:hAnsi="Times New Roman"/>
                <w:b/>
                <w:sz w:val="24"/>
                <w:szCs w:val="24"/>
              </w:rPr>
              <w:t>30</w:t>
            </w:r>
          </w:p>
        </w:tc>
        <w:tc>
          <w:tcPr>
            <w:tcW w:w="690" w:type="dxa"/>
            <w:vMerge w:val="restart"/>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4"/>
                <w:szCs w:val="24"/>
                <w:lang w:val="en-GB"/>
              </w:rPr>
            </w:pPr>
            <w:r>
              <w:rPr>
                <w:rFonts w:ascii="Times New Roman" w:hAnsi="Times New Roman"/>
                <w:b/>
                <w:sz w:val="24"/>
                <w:szCs w:val="24"/>
                <w:lang w:val="en-GB"/>
              </w:rPr>
              <w:t>Tiền thù lao tham gia nhiệm vụ</w:t>
            </w:r>
          </w:p>
        </w:tc>
        <w:tc>
          <w:tcPr>
            <w:tcW w:w="830" w:type="dxa"/>
            <w:vMerge w:val="restart"/>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4"/>
                <w:szCs w:val="24"/>
                <w:lang w:val="en-GB"/>
              </w:rPr>
            </w:pPr>
            <w:r>
              <w:rPr>
                <w:rFonts w:ascii="Times New Roman" w:hAnsi="Times New Roman"/>
                <w:b/>
                <w:sz w:val="24"/>
                <w:szCs w:val="24"/>
                <w:lang w:val="en-GB"/>
              </w:rPr>
              <w:t>Nguyên liệu, nhiên liệu, vật liệu...</w:t>
            </w:r>
          </w:p>
        </w:tc>
        <w:tc>
          <w:tcPr>
            <w:tcW w:w="736" w:type="dxa"/>
            <w:vMerge w:val="restart"/>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en-GB"/>
              </w:rPr>
              <w:t>Sửa chữa, mua sắm, thuê tài</w:t>
            </w:r>
            <w:r>
              <w:rPr>
                <w:rFonts w:ascii="Times New Roman" w:hAnsi="Times New Roman"/>
                <w:sz w:val="24"/>
                <w:szCs w:val="24"/>
              </w:rPr>
              <w:t> </w:t>
            </w:r>
            <w:r>
              <w:rPr>
                <w:rFonts w:ascii="Times New Roman" w:hAnsi="Times New Roman"/>
                <w:b/>
                <w:sz w:val="24"/>
                <w:szCs w:val="24"/>
                <w:lang w:val="en-GB"/>
              </w:rPr>
              <w:t>sản</w:t>
            </w:r>
          </w:p>
        </w:tc>
        <w:tc>
          <w:tcPr>
            <w:tcW w:w="981" w:type="dxa"/>
            <w:vMerge w:val="restart"/>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en-GB"/>
              </w:rPr>
              <w:t>Chi</w:t>
            </w:r>
            <w:r>
              <w:rPr>
                <w:rFonts w:ascii="Times New Roman" w:hAnsi="Times New Roman"/>
                <w:sz w:val="24"/>
                <w:szCs w:val="24"/>
              </w:rPr>
              <w:t> </w:t>
            </w:r>
            <w:r>
              <w:rPr>
                <w:rFonts w:ascii="Times New Roman" w:hAnsi="Times New Roman"/>
                <w:b/>
                <w:sz w:val="24"/>
                <w:szCs w:val="24"/>
                <w:lang w:val="en-GB"/>
              </w:rPr>
              <w:t>khác...</w:t>
            </w:r>
          </w:p>
        </w:tc>
        <w:tc>
          <w:tcPr>
            <w:tcW w:w="3886" w:type="dxa"/>
            <w:gridSpan w:val="3"/>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4"/>
                <w:szCs w:val="24"/>
                <w:lang w:val="en-GB"/>
              </w:rPr>
            </w:pPr>
            <w:r>
              <w:rPr>
                <w:rFonts w:ascii="Times New Roman" w:hAnsi="Times New Roman"/>
                <w:b/>
                <w:sz w:val="24"/>
                <w:szCs w:val="24"/>
                <w:lang w:val="en-GB"/>
              </w:rPr>
              <w:t>Kinh phí thực hiện</w:t>
            </w:r>
          </w:p>
        </w:tc>
        <w:tc>
          <w:tcPr>
            <w:tcW w:w="1722" w:type="dxa"/>
            <w:vMerge w:val="restart"/>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en-GB"/>
              </w:rPr>
              <w:t>Kinh phí dự</w:t>
            </w:r>
            <w:r>
              <w:rPr>
                <w:rFonts w:ascii="Times New Roman" w:hAnsi="Times New Roman"/>
                <w:sz w:val="24"/>
                <w:szCs w:val="24"/>
              </w:rPr>
              <w:t> </w:t>
            </w:r>
            <w:r>
              <w:rPr>
                <w:rFonts w:ascii="Times New Roman" w:hAnsi="Times New Roman"/>
                <w:b/>
                <w:sz w:val="24"/>
                <w:szCs w:val="24"/>
                <w:lang w:val="en-GB"/>
              </w:rPr>
              <w:t>phòng</w:t>
            </w:r>
            <w:r>
              <w:rPr>
                <w:rFonts w:ascii="Times New Roman" w:hAnsi="Times New Roman"/>
                <w:b/>
                <w:sz w:val="24"/>
                <w:szCs w:val="24"/>
              </w:rPr>
              <w:t>31</w:t>
            </w:r>
            <w:r>
              <w:rPr>
                <w:rFonts w:ascii="Times New Roman" w:hAnsi="Times New Roman"/>
                <w:sz w:val="24"/>
                <w:szCs w:val="24"/>
              </w:rPr>
              <w:t> </w:t>
            </w:r>
            <w:r>
              <w:rPr>
                <w:rFonts w:ascii="Times New Roman" w:hAnsi="Times New Roman"/>
                <w:sz w:val="24"/>
                <w:szCs w:val="24"/>
                <w:lang w:val="en-GB"/>
              </w:rPr>
              <w:t>(nếu có)</w:t>
            </w:r>
          </w:p>
        </w:tc>
      </w:tr>
      <w:tr>
        <w:trPr/>
        <w:tc>
          <w:tcPr>
            <w:tcW w:w="1127" w:type="dxa"/>
            <w:vMerge w:val="continue"/>
            <w:tcBorders>
              <w:top w:val="single" w:sz="8" w:space="0" w:color="000000"/>
              <w:start w:val="single" w:sz="8" w:space="0" w:color="000000"/>
              <w:bottom w:val="single" w:sz="8" w:space="0" w:color="000000"/>
              <w:end w:val="single" w:sz="8" w:space="0" w:color="000000"/>
            </w:tcBorders>
            <w:vAlign w:val="center"/>
          </w:tcPr>
          <w:p>
            <w:pPr>
              <w:pStyle w:val="Nidungbng"/>
              <w:bidi w:val="0"/>
              <w:jc w:val="start"/>
              <w:rPr>
                <w:rFonts w:ascii="Times New Roman" w:hAnsi="Times New Roman"/>
                <w:sz w:val="24"/>
                <w:szCs w:val="24"/>
              </w:rPr>
            </w:pPr>
            <w:r>
              <w:rPr>
                <w:rFonts w:ascii="Times New Roman" w:hAnsi="Times New Roman"/>
                <w:sz w:val="24"/>
                <w:szCs w:val="24"/>
              </w:rPr>
            </w:r>
          </w:p>
        </w:tc>
        <w:tc>
          <w:tcPr>
            <w:tcW w:w="690" w:type="dxa"/>
            <w:vMerge w:val="continue"/>
            <w:tcBorders>
              <w:top w:val="single" w:sz="8" w:space="0" w:color="000000"/>
              <w:bottom w:val="single" w:sz="8" w:space="0" w:color="000000"/>
              <w:end w:val="single" w:sz="8" w:space="0" w:color="000000"/>
            </w:tcBorders>
            <w:tcMar>
              <w:start w:w="0" w:type="dxa"/>
            </w:tcMar>
            <w:vAlign w:val="center"/>
          </w:tcPr>
          <w:p>
            <w:pPr>
              <w:pStyle w:val="Nidungbng"/>
              <w:bidi w:val="0"/>
              <w:jc w:val="start"/>
              <w:rPr>
                <w:rFonts w:ascii="Times New Roman" w:hAnsi="Times New Roman"/>
                <w:sz w:val="24"/>
                <w:szCs w:val="24"/>
              </w:rPr>
            </w:pPr>
            <w:r>
              <w:rPr>
                <w:rFonts w:ascii="Times New Roman" w:hAnsi="Times New Roman"/>
                <w:sz w:val="24"/>
                <w:szCs w:val="24"/>
              </w:rPr>
            </w:r>
          </w:p>
        </w:tc>
        <w:tc>
          <w:tcPr>
            <w:tcW w:w="830" w:type="dxa"/>
            <w:vMerge w:val="continue"/>
            <w:tcBorders>
              <w:top w:val="single" w:sz="8" w:space="0" w:color="000000"/>
              <w:bottom w:val="single" w:sz="8" w:space="0" w:color="000000"/>
              <w:end w:val="single" w:sz="8" w:space="0" w:color="000000"/>
            </w:tcBorders>
            <w:tcMar>
              <w:start w:w="0" w:type="dxa"/>
            </w:tcMar>
            <w:vAlign w:val="center"/>
          </w:tcPr>
          <w:p>
            <w:pPr>
              <w:pStyle w:val="Nidungbng"/>
              <w:bidi w:val="0"/>
              <w:jc w:val="start"/>
              <w:rPr>
                <w:rFonts w:ascii="Times New Roman" w:hAnsi="Times New Roman"/>
                <w:sz w:val="24"/>
                <w:szCs w:val="24"/>
              </w:rPr>
            </w:pPr>
            <w:r>
              <w:rPr>
                <w:rFonts w:ascii="Times New Roman" w:hAnsi="Times New Roman"/>
                <w:sz w:val="24"/>
                <w:szCs w:val="24"/>
              </w:rPr>
            </w:r>
          </w:p>
        </w:tc>
        <w:tc>
          <w:tcPr>
            <w:tcW w:w="736" w:type="dxa"/>
            <w:vMerge w:val="continue"/>
            <w:tcBorders>
              <w:top w:val="single" w:sz="8" w:space="0" w:color="000000"/>
              <w:bottom w:val="single" w:sz="8" w:space="0" w:color="000000"/>
              <w:end w:val="single" w:sz="8" w:space="0" w:color="000000"/>
            </w:tcBorders>
            <w:tcMar>
              <w:start w:w="0" w:type="dxa"/>
            </w:tcMar>
            <w:vAlign w:val="center"/>
          </w:tcPr>
          <w:p>
            <w:pPr>
              <w:pStyle w:val="Nidungbng"/>
              <w:bidi w:val="0"/>
              <w:jc w:val="start"/>
              <w:rPr>
                <w:rFonts w:ascii="Times New Roman" w:hAnsi="Times New Roman"/>
                <w:sz w:val="24"/>
                <w:szCs w:val="24"/>
              </w:rPr>
            </w:pPr>
            <w:r>
              <w:rPr>
                <w:rFonts w:ascii="Times New Roman" w:hAnsi="Times New Roman"/>
                <w:sz w:val="24"/>
                <w:szCs w:val="24"/>
              </w:rPr>
            </w:r>
          </w:p>
        </w:tc>
        <w:tc>
          <w:tcPr>
            <w:tcW w:w="981" w:type="dxa"/>
            <w:vMerge w:val="continue"/>
            <w:tcBorders>
              <w:top w:val="single" w:sz="8" w:space="0" w:color="000000"/>
              <w:bottom w:val="single" w:sz="8" w:space="0" w:color="000000"/>
              <w:end w:val="single" w:sz="8" w:space="0" w:color="000000"/>
            </w:tcBorders>
            <w:tcMar>
              <w:start w:w="0" w:type="dxa"/>
            </w:tcMar>
            <w:vAlign w:val="center"/>
          </w:tcPr>
          <w:p>
            <w:pPr>
              <w:pStyle w:val="Nidungbng"/>
              <w:bidi w:val="0"/>
              <w:jc w:val="start"/>
              <w:rPr>
                <w:rFonts w:ascii="Times New Roman" w:hAnsi="Times New Roman"/>
                <w:sz w:val="24"/>
                <w:szCs w:val="24"/>
              </w:rPr>
            </w:pPr>
            <w:r>
              <w:rPr>
                <w:rFonts w:ascii="Times New Roman" w:hAnsi="Times New Roman"/>
                <w:sz w:val="24"/>
                <w:szCs w:val="24"/>
              </w:rPr>
            </w:r>
          </w:p>
        </w:tc>
        <w:tc>
          <w:tcPr>
            <w:tcW w:w="129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lang w:val="en-GB"/>
              </w:rPr>
              <w:t>Tổng</w:t>
            </w:r>
            <w:r>
              <w:rPr>
                <w:rFonts w:ascii="Times New Roman" w:hAnsi="Times New Roman"/>
                <w:sz w:val="24"/>
                <w:szCs w:val="24"/>
              </w:rPr>
              <w:t> </w:t>
            </w:r>
            <w:r>
              <w:rPr>
                <w:rFonts w:ascii="Times New Roman" w:hAnsi="Times New Roman"/>
                <w:sz w:val="24"/>
                <w:szCs w:val="24"/>
                <w:lang w:val="en-GB"/>
              </w:rPr>
              <w:t>kinh</w:t>
            </w:r>
            <w:r>
              <w:rPr>
                <w:rFonts w:ascii="Times New Roman" w:hAnsi="Times New Roman"/>
                <w:sz w:val="24"/>
                <w:szCs w:val="24"/>
              </w:rPr>
              <w:t> </w:t>
            </w:r>
            <w:r>
              <w:rPr>
                <w:rFonts w:ascii="Times New Roman" w:hAnsi="Times New Roman"/>
                <w:sz w:val="24"/>
                <w:szCs w:val="24"/>
                <w:lang w:val="en-GB"/>
              </w:rPr>
              <w:t>phí</w:t>
            </w:r>
          </w:p>
        </w:tc>
        <w:tc>
          <w:tcPr>
            <w:tcW w:w="196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lang w:val="en-GB"/>
              </w:rPr>
              <w:t>Ngân</w:t>
            </w:r>
            <w:r>
              <w:rPr>
                <w:rFonts w:ascii="Times New Roman" w:hAnsi="Times New Roman"/>
                <w:sz w:val="24"/>
                <w:szCs w:val="24"/>
              </w:rPr>
              <w:t> </w:t>
            </w:r>
            <w:r>
              <w:rPr>
                <w:rFonts w:ascii="Times New Roman" w:hAnsi="Times New Roman"/>
                <w:sz w:val="24"/>
                <w:szCs w:val="24"/>
                <w:lang w:val="en-GB"/>
              </w:rPr>
              <w:t>sách</w:t>
            </w:r>
            <w:r>
              <w:rPr>
                <w:rFonts w:ascii="Times New Roman" w:hAnsi="Times New Roman"/>
                <w:sz w:val="24"/>
                <w:szCs w:val="24"/>
              </w:rPr>
              <w:t> </w:t>
            </w:r>
            <w:r>
              <w:rPr>
                <w:rFonts w:ascii="Times New Roman" w:hAnsi="Times New Roman"/>
                <w:sz w:val="24"/>
                <w:szCs w:val="24"/>
                <w:lang w:val="en-GB"/>
              </w:rPr>
              <w:t>nhà</w:t>
            </w:r>
            <w:r>
              <w:rPr>
                <w:rFonts w:ascii="Times New Roman" w:hAnsi="Times New Roman"/>
                <w:sz w:val="24"/>
                <w:szCs w:val="24"/>
              </w:rPr>
              <w:t> </w:t>
            </w:r>
            <w:r>
              <w:rPr>
                <w:rFonts w:ascii="Times New Roman" w:hAnsi="Times New Roman"/>
                <w:sz w:val="24"/>
                <w:szCs w:val="24"/>
                <w:lang w:val="en-GB"/>
              </w:rPr>
              <w:t>nước</w:t>
            </w:r>
          </w:p>
        </w:tc>
        <w:tc>
          <w:tcPr>
            <w:tcW w:w="62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lang w:val="en-GB"/>
              </w:rPr>
            </w:pPr>
            <w:r>
              <w:rPr>
                <w:rFonts w:ascii="Times New Roman" w:hAnsi="Times New Roman"/>
                <w:sz w:val="24"/>
                <w:szCs w:val="24"/>
                <w:lang w:val="en-GB"/>
              </w:rPr>
              <w:t>Ngoài ngân sách nhà nước</w:t>
            </w:r>
          </w:p>
        </w:tc>
        <w:tc>
          <w:tcPr>
            <w:tcW w:w="1722" w:type="dxa"/>
            <w:vMerge w:val="continue"/>
            <w:tcBorders>
              <w:top w:val="single" w:sz="8" w:space="0" w:color="000000"/>
              <w:bottom w:val="single" w:sz="8" w:space="0" w:color="000000"/>
              <w:end w:val="single" w:sz="8" w:space="0" w:color="000000"/>
            </w:tcBorders>
            <w:tcMar>
              <w:start w:w="0" w:type="dxa"/>
            </w:tcMar>
            <w:vAlign w:val="center"/>
          </w:tcPr>
          <w:p>
            <w:pPr>
              <w:pStyle w:val="Nidungbng"/>
              <w:bidi w:val="0"/>
              <w:jc w:val="start"/>
              <w:rPr>
                <w:rFonts w:ascii="Times New Roman" w:hAnsi="Times New Roman"/>
                <w:sz w:val="24"/>
                <w:szCs w:val="24"/>
              </w:rPr>
            </w:pPr>
            <w:r>
              <w:rPr>
                <w:rFonts w:ascii="Times New Roman" w:hAnsi="Times New Roman"/>
                <w:sz w:val="24"/>
                <w:szCs w:val="24"/>
              </w:rPr>
            </w:r>
          </w:p>
        </w:tc>
      </w:tr>
      <w:tr>
        <w:trPr/>
        <w:tc>
          <w:tcPr>
            <w:tcW w:w="112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lang w:val="en-GB"/>
              </w:rPr>
            </w:pPr>
            <w:r>
              <w:rPr>
                <w:rFonts w:ascii="Times New Roman" w:hAnsi="Times New Roman"/>
                <w:sz w:val="24"/>
                <w:szCs w:val="24"/>
                <w:lang w:val="en-GB"/>
              </w:rPr>
              <w:t>Gói công việc 1</w:t>
            </w:r>
          </w:p>
        </w:tc>
        <w:tc>
          <w:tcPr>
            <w:tcW w:w="69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83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73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98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96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2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72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112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lang w:val="en-GB"/>
              </w:rPr>
            </w:pPr>
            <w:r>
              <w:rPr>
                <w:rFonts w:ascii="Times New Roman" w:hAnsi="Times New Roman"/>
                <w:sz w:val="24"/>
                <w:szCs w:val="24"/>
                <w:lang w:val="en-GB"/>
              </w:rPr>
              <w:t>Gói công việc ...</w:t>
            </w:r>
          </w:p>
        </w:tc>
        <w:tc>
          <w:tcPr>
            <w:tcW w:w="69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83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73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98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96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2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72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112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w:t>
            </w:r>
          </w:p>
        </w:tc>
        <w:tc>
          <w:tcPr>
            <w:tcW w:w="69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83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73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98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96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2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72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112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en-GB"/>
              </w:rPr>
              <w:t>Tổng</w:t>
            </w:r>
            <w:r>
              <w:rPr>
                <w:rFonts w:ascii="Times New Roman" w:hAnsi="Times New Roman"/>
                <w:sz w:val="24"/>
                <w:szCs w:val="24"/>
              </w:rPr>
              <w:t> </w:t>
            </w:r>
            <w:r>
              <w:rPr>
                <w:rFonts w:ascii="Times New Roman" w:hAnsi="Times New Roman"/>
                <w:b/>
                <w:sz w:val="24"/>
                <w:szCs w:val="24"/>
                <w:lang w:val="en-GB"/>
              </w:rPr>
              <w:t>cộng</w:t>
            </w:r>
          </w:p>
        </w:tc>
        <w:tc>
          <w:tcPr>
            <w:tcW w:w="69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830"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73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981"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9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96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2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722"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__________________________</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vi-VN"/>
        </w:rPr>
        <w:t>30</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vi-VN"/>
        </w:rPr>
        <w:t>Biểu mẫu chi tiết lập dự toán các gói công việc áp dụng theo quy định tại Thông tư quy định cơ chế tài chính đối với nhiệm vụ nghiên cứu và phát triển công nghệ chiến lược thuộc Chương trình khoa học, công nghệ và đổi mới sáng tạo quốc gia đặc biệt về công nghệ chiến lược.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vi-VN"/>
        </w:rPr>
        <w:t>31</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vi-VN"/>
        </w:rPr>
        <w:t>Từ nguồn ngân sách nhà nước, không vượt quá 10% tổng dự toán kinh phí từ ngân sách nhà nước thực hiện nhiệm vụ.</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LibreOffice/26.2.5.2$Windows_X86_64 LibreOffice_project/cd7284b4cbbfeb507e630c1aac019f4157393acb</Application>
  <AppVersion>15.0000</AppVersion>
  <Pages>12</Pages>
  <Words>4154</Words>
  <Characters>16028</Characters>
  <CharactersWithSpaces>20484</CharactersWithSpaces>
  <Paragraphs>330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2026-09-05T10:45:42Z</dcterms:created>
  <dc:creator/>
  <dc:description/>
  <dc:language>en-US</dc:language>
  <cp:lastModifiedBy/>
  <dcterms:modified xsi:type="dcterms:W3CDTF">2026-09-05T10:47:34Z</dcterms:modified>
  <cp:revision>1</cp:revision>
  <dc:subject/>
  <dc:title/>
</cp:coreProperties>
</file>