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14" w:type="dxa"/>
        <w:jc w:val="left"/>
        <w:tblInd w:w="74" w:type="dxa"/>
        <w:tblLayout w:type="fixed"/>
        <w:tblCellMar>
          <w:top w:w="0" w:type="dxa"/>
          <w:left w:w="108" w:type="dxa"/>
          <w:bottom w:w="0" w:type="dxa"/>
          <w:right w:w="108" w:type="dxa"/>
        </w:tblCellMar>
        <w:tblLook w:val="0000" w:firstRow="0" w:noVBand="0" w:lastRow="0" w:firstColumn="0" w:lastColumn="0" w:noHBand="0"/>
      </w:tblPr>
      <w:tblGrid>
        <w:gridCol w:w="3303"/>
        <w:gridCol w:w="5911"/>
      </w:tblGrid>
      <w:tr>
        <w:trPr/>
        <w:tc>
          <w:tcPr>
            <w:tcW w:w="3303" w:type="dxa"/>
            <w:tcBorders/>
          </w:tcPr>
          <w:p>
            <w:pPr>
              <w:pStyle w:val="Normal"/>
              <w:ind w:right="-144"/>
              <w:jc w:val="center"/>
              <w:rPr>
                <w:b/>
                <w:bCs/>
                <w:color w:themeColor="text1" w:val="000000"/>
                <w:sz w:val="26"/>
                <w:szCs w:val="26"/>
              </w:rPr>
            </w:pPr>
            <w:r>
              <w:rPr>
                <w:b/>
                <w:bCs/>
                <w:color w:themeColor="text1" w:val="000000"/>
                <w:sz w:val="26"/>
                <w:szCs w:val="26"/>
              </w:rPr>
              <w:t>BỘ Y TẾ</w:t>
            </w:r>
          </w:p>
          <w:p>
            <w:pPr>
              <w:pStyle w:val="Normal"/>
              <w:ind w:right="-144"/>
              <w:jc w:val="center"/>
              <w:rPr>
                <w:b/>
                <w:bCs/>
                <w:color w:themeColor="text1" w:val="000000"/>
                <w:sz w:val="26"/>
                <w:szCs w:val="26"/>
                <w:vertAlign w:val="superscript"/>
              </w:rPr>
            </w:pPr>
            <w:r>
              <w:rPr>
                <w:b/>
                <w:bCs/>
                <w:color w:themeColor="text1" w:val="000000"/>
                <w:sz w:val="26"/>
                <w:szCs w:val="26"/>
                <w:vertAlign w:val="superscript"/>
              </w:rPr>
              <mc:AlternateContent>
                <mc:Choice Requires="wps">
                  <w:drawing>
                    <wp:anchor distT="0" distB="0" distL="0" distR="0" simplePos="0" relativeHeight="3" behindDoc="0" locked="0" layoutInCell="1" allowOverlap="1" wp14:anchorId="4A9EB000">
                      <wp:simplePos x="0" y="0"/>
                      <wp:positionH relativeFrom="column">
                        <wp:posOffset>768985</wp:posOffset>
                      </wp:positionH>
                      <wp:positionV relativeFrom="paragraph">
                        <wp:posOffset>27305</wp:posOffset>
                      </wp:positionV>
                      <wp:extent cx="520065" cy="635"/>
                      <wp:effectExtent l="5715" t="5715" r="5080" b="5080"/>
                      <wp:wrapNone/>
                      <wp:docPr id="1" name="Straight Arrow Connector 7"/>
                      <a:graphic xmlns:a="http://schemas.openxmlformats.org/drawingml/2006/main">
                        <a:graphicData uri="http://schemas.microsoft.com/office/word/2010/wordprocessingShape">
                          <wps:wsp>
                            <wps:cNvSpPr/>
                            <wps:spPr>
                              <a:xfrm>
                                <a:off x="0" y="0"/>
                                <a:ext cx="5202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60.55pt;margin-top:2.15pt;width:40.9pt;height:0pt;mso-wrap-style:none;v-text-anchor:middle" wp14:anchorId="4A9EB000" type="_x0000_t32" path="m0,0l-2147483648,-2147483647e">
                      <v:fill o:detectmouseclick="t" on="false"/>
                      <v:stroke color="black" weight="9360" joinstyle="round" endcap="flat"/>
                      <w10:wrap type="none"/>
                    </v:shape>
                  </w:pict>
                </mc:Fallback>
              </mc:AlternateContent>
            </w:r>
          </w:p>
          <w:p>
            <w:pPr>
              <w:pStyle w:val="Normal"/>
              <w:spacing w:before="120" w:after="0"/>
              <w:ind w:right="-144"/>
              <w:jc w:val="center"/>
              <w:rPr>
                <w:b/>
                <w:bCs/>
                <w:color w:themeColor="text1" w:val="000000"/>
                <w:sz w:val="26"/>
                <w:szCs w:val="26"/>
                <w:vertAlign w:val="superscript"/>
              </w:rPr>
            </w:pPr>
            <w:r>
              <w:rPr>
                <w:color w:themeColor="text1" w:val="000000"/>
                <w:sz w:val="26"/>
                <w:szCs w:val="26"/>
              </w:rPr>
              <w:t>Số:         /2026/TT-BYT</w:t>
            </w:r>
          </w:p>
        </w:tc>
        <w:tc>
          <w:tcPr>
            <w:tcW w:w="5911" w:type="dxa"/>
            <w:tcBorders/>
          </w:tcPr>
          <w:p>
            <w:pPr>
              <w:pStyle w:val="Heading9"/>
              <w:spacing w:before="0" w:after="0"/>
              <w:jc w:val="center"/>
              <w:rPr>
                <w:rFonts w:ascii="Times New Roman" w:hAnsi="Times New Roman" w:cs="Times New Roman"/>
                <w:b/>
                <w:bCs/>
                <w:color w:themeColor="text1" w:val="000000"/>
                <w:sz w:val="26"/>
                <w:szCs w:val="26"/>
              </w:rPr>
            </w:pPr>
            <w:r>
              <w:rPr>
                <w:rFonts w:cs="Times New Roman" w:ascii="Times New Roman" w:hAnsi="Times New Roman"/>
                <w:b/>
                <w:bCs/>
                <w:color w:themeColor="text1" w:val="000000"/>
                <w:sz w:val="26"/>
                <w:szCs w:val="26"/>
              </w:rPr>
              <w:t>CỘNG HOÀ XÃ HỘI CHỦ NGHĨA VIỆT NAM</w:t>
            </w:r>
          </w:p>
          <w:p>
            <w:pPr>
              <w:pStyle w:val="Normal"/>
              <w:ind w:right="-144"/>
              <w:jc w:val="center"/>
              <w:rPr>
                <w:b/>
                <w:bCs/>
                <w:color w:themeColor="text1" w:val="000000"/>
              </w:rPr>
            </w:pPr>
            <w:r>
              <w:rPr>
                <w:b/>
                <w:bCs/>
                <w:color w:themeColor="text1" w:val="000000"/>
              </w:rPr>
              <w:t>Độc lập - Tự do - Hạnh phúc</w:t>
            </w:r>
          </w:p>
          <w:p>
            <w:pPr>
              <w:pStyle w:val="Normal"/>
              <w:spacing w:before="80" w:after="0"/>
              <w:ind w:right="-144"/>
              <w:jc w:val="center"/>
              <w:rPr>
                <w:i/>
                <w:color w:themeColor="text1" w:val="000000"/>
              </w:rPr>
            </w:pPr>
            <w:r>
              <mc:AlternateContent>
                <mc:Choice Requires="wps">
                  <w:drawing>
                    <wp:anchor distT="0" distB="0" distL="0" distR="0" simplePos="0" relativeHeight="2" behindDoc="0" locked="0" layoutInCell="1" allowOverlap="1" wp14:anchorId="44D2C664">
                      <wp:simplePos x="0" y="0"/>
                      <wp:positionH relativeFrom="column">
                        <wp:posOffset>965200</wp:posOffset>
                      </wp:positionH>
                      <wp:positionV relativeFrom="paragraph">
                        <wp:posOffset>14605</wp:posOffset>
                      </wp:positionV>
                      <wp:extent cx="1854835" cy="635"/>
                      <wp:effectExtent l="5715" t="5715" r="5080" b="5080"/>
                      <wp:wrapNone/>
                      <wp:docPr id="2" name="Straight Arrow Connector 5"/>
                      <a:graphic xmlns:a="http://schemas.openxmlformats.org/drawingml/2006/main">
                        <a:graphicData uri="http://schemas.microsoft.com/office/word/2010/wordprocessingShape">
                          <wps:wsp>
                            <wps:cNvSpPr/>
                            <wps:spPr>
                              <a:xfrm>
                                <a:off x="0" y="0"/>
                                <a:ext cx="185472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76pt;margin-top:1.15pt;width:146pt;height:0pt;mso-wrap-style:none;v-text-anchor:middle" wp14:anchorId="44D2C664" type="_x0000_t32" path="m0,0l-2147483648,-2147483647e">
                      <v:fill o:detectmouseclick="t" on="false"/>
                      <v:stroke color="black" weight="9360" joinstyle="round" endcap="flat"/>
                      <w10:wrap type="none"/>
                    </v:shape>
                  </w:pict>
                </mc:Fallback>
              </mc:AlternateContent>
            </w:r>
            <w:r>
              <w:rPr>
                <w:i/>
                <w:iCs/>
                <w:color w:themeColor="text1" w:val="000000"/>
                <w:sz w:val="26"/>
                <w:szCs w:val="26"/>
              </w:rPr>
              <w:t>Hà Nội, ngày     tháng       năm 2026</w:t>
            </w:r>
          </w:p>
        </w:tc>
      </w:tr>
    </w:tbl>
    <w:p>
      <w:pPr>
        <w:pStyle w:val="Subtitle"/>
        <w:spacing w:lineRule="auto" w:line="288"/>
        <w:rPr>
          <w:rFonts w:ascii="Times New Roman" w:hAnsi="Times New Roman" w:cs="Times New Roman"/>
          <w:color w:themeColor="text1" w:val="000000"/>
        </w:rPr>
      </w:pPr>
      <w:r>
        <w:rPr>
          <w:rFonts w:cs="Times New Roman" w:ascii="Times New Roman" w:hAnsi="Times New Roman"/>
          <w:color w:themeColor="text1" w:val="000000"/>
        </w:rPr>
      </w:r>
    </w:p>
    <w:p>
      <w:pPr>
        <w:pStyle w:val="Normal"/>
        <w:spacing w:lineRule="auto" w:line="288" w:before="120" w:after="40"/>
        <w:jc w:val="center"/>
        <w:rPr>
          <w:b/>
          <w:bCs/>
          <w:color w:themeColor="text1" w:val="000000"/>
        </w:rPr>
      </w:pPr>
      <w:bookmarkStart w:id="0" w:name="loai_1"/>
      <w:r>
        <w:rPr>
          <w:b/>
          <w:bCs/>
          <w:color w:themeColor="text1" w:val="000000"/>
        </w:rPr>
        <w:t xml:space="preserve">THÔNG TƯ </w:t>
      </w:r>
      <w:bookmarkEnd w:id="0"/>
    </w:p>
    <w:p>
      <w:pPr>
        <w:pStyle w:val="Normal"/>
        <w:jc w:val="center"/>
        <w:rPr>
          <w:b/>
          <w:spacing w:val="6"/>
          <w:lang w:val="pt-BR"/>
        </w:rPr>
      </w:pPr>
      <w:r>
        <w:rPr>
          <w:b/>
          <w:spacing w:val="6"/>
          <w:lang w:val="pt-BR"/>
        </w:rPr>
        <w:t>Quy định thanh toán chi phí khám sức khỏe định kỳ cho các đối tượng thuộc phạm vi chi trả của Quỹ Bảo hiểm y tế</w:t>
      </w:r>
    </w:p>
    <w:p>
      <w:pPr>
        <w:pStyle w:val="Normal"/>
        <w:spacing w:before="0" w:after="120"/>
        <w:jc w:val="both"/>
        <w:rPr>
          <w:i/>
          <w:iCs/>
          <w:color w:themeColor="text1" w:val="000000"/>
          <w:spacing w:val="4"/>
          <w:lang w:val="pt-BR"/>
        </w:rPr>
      </w:pPr>
      <w:r>
        <w:rPr>
          <w:i/>
          <w:iCs/>
          <w:color w:themeColor="text1" w:val="000000"/>
          <w:spacing w:val="4"/>
          <w:lang w:val="pt-BR"/>
        </w:rPr>
        <mc:AlternateContent>
          <mc:Choice Requires="wps">
            <w:drawing>
              <wp:anchor distT="0" distB="0" distL="0" distR="0" simplePos="0" relativeHeight="4" behindDoc="0" locked="0" layoutInCell="0" allowOverlap="1" wp14:anchorId="25E1E665">
                <wp:simplePos x="0" y="0"/>
                <wp:positionH relativeFrom="margin">
                  <wp:align>center</wp:align>
                </wp:positionH>
                <wp:positionV relativeFrom="paragraph">
                  <wp:posOffset>-635</wp:posOffset>
                </wp:positionV>
                <wp:extent cx="2491740" cy="0"/>
                <wp:effectExtent l="5080" t="5080" r="5080" b="5080"/>
                <wp:wrapNone/>
                <wp:docPr id="3" name="Straight Connector 1"/>
                <a:graphic xmlns:a="http://schemas.openxmlformats.org/drawingml/2006/main">
                  <a:graphicData uri="http://schemas.microsoft.com/office/word/2010/wordprocessingShape">
                    <wps:wsp>
                      <wps:cNvSpPr/>
                      <wps:spPr>
                        <a:xfrm>
                          <a:off x="0" y="0"/>
                          <a:ext cx="2491920" cy="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128.65pt,-0.05pt" to="324.8pt,-0.05pt" stroked="t" o:allowincell="f" style="position:absolute;mso-position-horizontal:center;mso-position-horizontal-relative:margin" wp14:anchorId="25E1E665">
                <v:stroke color="black" weight="9360" joinstyle="round" endcap="flat"/>
                <v:fill o:detectmouseclick="t" on="false"/>
                <w10:wrap type="none"/>
              </v:line>
            </w:pict>
          </mc:Fallback>
        </mc:AlternateContent>
      </w:r>
      <w:bookmarkStart w:id="1" w:name="tvpllink_iogwzjxiui"/>
    </w:p>
    <w:p>
      <w:pPr>
        <w:pStyle w:val="Normal"/>
        <w:tabs>
          <w:tab w:val="clear" w:pos="720"/>
          <w:tab w:val="center" w:pos="-1995" w:leader="none"/>
          <w:tab w:val="left" w:pos="0" w:leader="none"/>
        </w:tabs>
        <w:spacing w:before="120" w:after="120"/>
        <w:jc w:val="both"/>
        <w:rPr>
          <w:i/>
          <w:spacing w:val="-4"/>
          <w:lang w:val="fr-FR"/>
        </w:rPr>
      </w:pPr>
      <w:r>
        <w:rPr>
          <w:i/>
          <w:spacing w:val="-4"/>
          <w:lang w:val="fr-FR"/>
        </w:rPr>
        <w:tab/>
        <w:t>Căn cứ Luật Bảo hiểm y tế số 25/2008/QH12 được sửa đổi, bổ sung bởi Luật số 46/2014/QH12, Luật số 51/2024/QH15 và Luật Phòng bệnh số 114/2025/QH15;</w:t>
      </w:r>
    </w:p>
    <w:p>
      <w:pPr>
        <w:pStyle w:val="Normal"/>
        <w:spacing w:before="0" w:after="120"/>
        <w:ind w:firstLine="720"/>
        <w:jc w:val="both"/>
        <w:rPr>
          <w:i/>
          <w:iCs/>
          <w:color w:themeColor="text1" w:val="000000"/>
          <w:spacing w:val="4"/>
          <w:lang w:val="pt-BR"/>
        </w:rPr>
      </w:pPr>
      <w:r>
        <w:rPr>
          <w:i/>
          <w:iCs/>
          <w:color w:themeColor="text1" w:val="000000"/>
          <w:spacing w:val="4"/>
          <w:lang w:val="pt-BR"/>
        </w:rPr>
        <w:t>Căn cứ Nghị định số 165/2026/NĐ-CP ngày 15 tháng 5 năm 2026 của Chính phủ quy định chi tiết và hướng dẫn thi hành một số điều của Luật Phòng bệnh;</w:t>
      </w:r>
    </w:p>
    <w:p>
      <w:pPr>
        <w:pStyle w:val="Normal"/>
        <w:spacing w:before="0" w:after="120"/>
        <w:ind w:firstLine="720"/>
        <w:jc w:val="both"/>
        <w:rPr>
          <w:i/>
          <w:iCs/>
          <w:color w:themeColor="text1" w:val="000000"/>
          <w:spacing w:val="4"/>
          <w:lang w:val="pt-BR"/>
        </w:rPr>
      </w:pPr>
      <w:r>
        <w:rPr>
          <w:i/>
          <w:iCs/>
          <w:color w:themeColor="text1" w:val="000000"/>
          <w:spacing w:val="4"/>
          <w:lang w:val="pt-BR"/>
        </w:rPr>
        <w:t>Căn cứ Nghị định số 313/2026/NĐ-CP ngày 08 tháng 8 năm 2026 của Chính phủ quy định chức năng, nhiệm vụ, quyền hạn và cơ cấu tổ chức của Bộ Y tế;</w:t>
      </w:r>
      <w:bookmarkEnd w:id="1"/>
    </w:p>
    <w:p>
      <w:pPr>
        <w:pStyle w:val="Normal"/>
        <w:spacing w:before="0" w:after="120"/>
        <w:ind w:firstLine="720"/>
        <w:jc w:val="both"/>
        <w:rPr>
          <w:i/>
          <w:iCs/>
          <w:color w:themeColor="text1" w:val="000000"/>
          <w:spacing w:val="2"/>
          <w:lang w:val="pt-BR"/>
        </w:rPr>
      </w:pPr>
      <w:r>
        <w:rPr>
          <w:i/>
          <w:iCs/>
          <w:color w:themeColor="text1" w:val="000000"/>
          <w:spacing w:val="2"/>
          <w:lang w:val="pt-BR"/>
        </w:rPr>
        <w:t>Theo đề nghị của Vụ trưởng Vụ Bảo hiểm y tế;</w:t>
      </w:r>
    </w:p>
    <w:p>
      <w:pPr>
        <w:pStyle w:val="Normal"/>
        <w:spacing w:before="0" w:after="120"/>
        <w:ind w:firstLine="720"/>
        <w:jc w:val="both"/>
        <w:rPr>
          <w:i/>
          <w:iCs/>
          <w:spacing w:val="6"/>
          <w:lang w:val="pt-BR"/>
        </w:rPr>
      </w:pPr>
      <w:r>
        <w:rPr>
          <w:i/>
          <w:iCs/>
          <w:color w:themeColor="text1" w:val="000000"/>
          <w:spacing w:val="2"/>
          <w:lang w:val="pt-BR"/>
        </w:rPr>
        <w:t xml:space="preserve">Bộ trưởng Bộ Y tế ban hành Thông tư </w:t>
      </w:r>
      <w:r>
        <w:rPr>
          <w:i/>
          <w:iCs/>
          <w:spacing w:val="6"/>
          <w:lang w:val="pt-BR"/>
        </w:rPr>
        <w:t>quy định thanh toán chi phí khám sức khỏe định kỳ cho các đối tượng thuộc phạm vi chi trả của Quỹ Bảo hiểm y tế.</w:t>
      </w:r>
    </w:p>
    <w:p>
      <w:pPr>
        <w:pStyle w:val="Heading2"/>
        <w:keepNext w:val="false"/>
        <w:keepLines w:val="false"/>
        <w:widowControl w:val="false"/>
        <w:spacing w:before="0" w:after="120"/>
        <w:ind w:firstLine="709"/>
        <w:jc w:val="both"/>
        <w:rPr>
          <w:rFonts w:ascii="Times New Roman" w:hAnsi="Times New Roman" w:cs="Times New Roman"/>
          <w:b/>
          <w:bCs/>
          <w:color w:val="auto"/>
          <w:sz w:val="28"/>
          <w:szCs w:val="28"/>
          <w:lang w:val="vi-VN"/>
        </w:rPr>
      </w:pPr>
      <w:r>
        <w:rPr>
          <w:rFonts w:cs="Times New Roman" w:ascii="Times New Roman" w:hAnsi="Times New Roman"/>
          <w:b/>
          <w:bCs/>
          <w:color w:val="auto"/>
          <w:sz w:val="28"/>
          <w:szCs w:val="28"/>
          <w:lang w:val="vi-VN"/>
        </w:rPr>
      </w:r>
      <w:bookmarkStart w:id="2" w:name="dieu_1"/>
    </w:p>
    <w:p>
      <w:pPr>
        <w:pStyle w:val="Heading2"/>
        <w:keepNext w:val="false"/>
        <w:keepLines w:val="false"/>
        <w:widowControl w:val="false"/>
        <w:spacing w:before="0" w:after="120"/>
        <w:ind w:firstLine="709"/>
        <w:jc w:val="both"/>
        <w:rPr>
          <w:b/>
          <w:bCs/>
          <w:color w:themeColor="text1" w:val="000000"/>
        </w:rPr>
      </w:pPr>
      <w:r>
        <w:rPr>
          <w:rFonts w:cs="Times New Roman" w:ascii="Times New Roman" w:hAnsi="Times New Roman"/>
          <w:b/>
          <w:bCs/>
          <w:color w:val="auto"/>
          <w:sz w:val="28"/>
          <w:szCs w:val="28"/>
          <w:lang w:val="vi-VN"/>
        </w:rPr>
        <w:t>Điều 1. Phạm vi điều chỉnh</w:t>
      </w:r>
      <w:bookmarkEnd w:id="2"/>
      <w:r>
        <w:rPr>
          <w:rFonts w:cs="Times New Roman" w:ascii="Times New Roman" w:hAnsi="Times New Roman"/>
          <w:b/>
          <w:bCs/>
          <w:color w:val="auto"/>
          <w:sz w:val="28"/>
          <w:szCs w:val="28"/>
        </w:rPr>
        <w:t xml:space="preserve"> và đối tượng áp dụng</w:t>
      </w:r>
    </w:p>
    <w:p>
      <w:pPr>
        <w:pStyle w:val="Normal"/>
        <w:spacing w:before="0" w:after="120"/>
        <w:ind w:firstLine="720"/>
        <w:jc w:val="both"/>
        <w:rPr>
          <w:bCs/>
          <w:color w:themeColor="text1" w:val="000000"/>
          <w:lang w:val="pt-BR"/>
        </w:rPr>
      </w:pPr>
      <w:r>
        <w:rPr>
          <w:bCs/>
          <w:color w:themeColor="text1" w:val="000000"/>
          <w:lang w:val="pt-BR"/>
        </w:rPr>
        <w:t>1. Phạm vi điều chỉnh</w:t>
      </w:r>
    </w:p>
    <w:p>
      <w:pPr>
        <w:pStyle w:val="Normal"/>
        <w:spacing w:before="0" w:after="120"/>
        <w:ind w:firstLine="720"/>
        <w:jc w:val="both"/>
        <w:rPr/>
      </w:pPr>
      <w:r>
        <w:rPr>
          <w:bCs/>
          <w:color w:themeColor="text1" w:val="000000"/>
          <w:lang w:val="pt-BR"/>
        </w:rPr>
        <w:t xml:space="preserve">Thông tư này quy </w:t>
      </w:r>
      <w:bookmarkStart w:id="3" w:name="dieu_2"/>
      <w:r>
        <w:rPr>
          <w:bCs/>
          <w:color w:themeColor="text1" w:val="000000"/>
          <w:lang w:val="pt-BR"/>
        </w:rPr>
        <w:t xml:space="preserve">định </w:t>
      </w:r>
      <w:r>
        <w:rPr>
          <w:color w:themeColor="text1" w:val="000000"/>
          <w:spacing w:val="-4"/>
          <w:lang w:eastAsia="en-AU"/>
        </w:rPr>
        <w:t xml:space="preserve">đối tượng, </w:t>
      </w:r>
      <w:r>
        <w:rPr/>
        <w:t>điều kiện, mức thanh toán, danh mục dịch vụ kỹ thuật khám sức khỏe định kỳ cho các đối tượng thuộc phạm vi chi trả của Quỹ Bảo hiểm y tế.</w:t>
      </w:r>
    </w:p>
    <w:p>
      <w:pPr>
        <w:pStyle w:val="Normal"/>
        <w:spacing w:before="0" w:after="120"/>
        <w:ind w:firstLine="720"/>
        <w:jc w:val="both"/>
        <w:rPr>
          <w:color w:themeColor="text1" w:val="000000"/>
          <w:lang w:val="vi-VN"/>
        </w:rPr>
      </w:pPr>
      <w:r>
        <w:rPr>
          <w:color w:themeColor="text1" w:val="000000"/>
        </w:rPr>
        <w:t xml:space="preserve">2. </w:t>
      </w:r>
      <w:r>
        <w:rPr>
          <w:color w:themeColor="text1" w:val="000000"/>
          <w:lang w:val="vi-VN"/>
        </w:rPr>
        <w:t>Đối tượng áp dụng</w:t>
      </w:r>
    </w:p>
    <w:p>
      <w:pPr>
        <w:pStyle w:val="Normal"/>
        <w:spacing w:before="0" w:after="120"/>
        <w:ind w:firstLine="720"/>
        <w:jc w:val="both"/>
        <w:rPr>
          <w:color w:themeColor="text1" w:val="000000"/>
        </w:rPr>
      </w:pPr>
      <w:r>
        <w:rPr>
          <w:color w:themeColor="text1" w:val="000000"/>
          <w:lang w:val="vi-VN"/>
        </w:rPr>
        <w:t xml:space="preserve">a) </w:t>
      </w:r>
      <w:r>
        <w:rPr>
          <w:color w:themeColor="text1" w:val="000000"/>
        </w:rPr>
        <w:t>Thông tư này áp dụng đối với người tham gia bảo hiểm y tế, cơ sở khám bệnh, chữa bệnh bệnh bảo hiểm y tế, cơ quan bảo hiểm xã hội và cơ quan, tổ chức, cá nhân khác có liên quan đến khám sức khỏe định kỳ thuộc phạm vi chi trả của Quỹ bảo hiểm y tế.</w:t>
        <w:tab/>
      </w:r>
    </w:p>
    <w:p>
      <w:pPr>
        <w:pStyle w:val="Normal"/>
        <w:spacing w:before="0" w:after="120"/>
        <w:ind w:firstLine="720"/>
        <w:jc w:val="both"/>
        <w:rPr>
          <w:color w:themeColor="text1" w:val="000000"/>
          <w:lang w:val="vi-VN"/>
        </w:rPr>
      </w:pPr>
      <w:r>
        <w:rPr>
          <w:color w:themeColor="text1" w:val="000000"/>
          <w:lang w:val="vi-VN"/>
        </w:rPr>
        <w:t>b) Việc khám sức khỏe định kỳ từ nguồn kinh phí khác được áp dụng quy định tại Thông tư này trong tổ chức thực hiện.</w:t>
      </w:r>
    </w:p>
    <w:p>
      <w:pPr>
        <w:pStyle w:val="Normal"/>
        <w:spacing w:before="120" w:after="120"/>
        <w:ind w:firstLine="720"/>
        <w:jc w:val="both"/>
        <w:rPr>
          <w:b/>
        </w:rPr>
      </w:pPr>
      <w:r>
        <w:rPr>
          <w:b/>
        </w:rPr>
        <w:t xml:space="preserve">Điều 2. Đối tượng được Quỹ bảo hiểm y tế thanh toán chi phí khám sức khỏe định kỳ trong phạm vi quyền lợi bảo hiểm y tế </w:t>
      </w:r>
    </w:p>
    <w:p>
      <w:pPr>
        <w:pStyle w:val="Normal"/>
        <w:spacing w:before="120" w:after="120"/>
        <w:ind w:firstLine="720"/>
        <w:jc w:val="both"/>
        <w:rPr>
          <w:color w:val="000000"/>
          <w:lang w:val="vi-VN"/>
        </w:rPr>
      </w:pPr>
      <w:r>
        <w:rPr>
          <w:color w:val="000000"/>
        </w:rPr>
        <w:t>Người</w:t>
      </w:r>
      <w:r>
        <w:rPr>
          <w:color w:val="000000"/>
          <w:lang w:val="vi-VN"/>
        </w:rPr>
        <w:t xml:space="preserve"> có thẻ bảo hiểm y tế thuộc đối tượng </w:t>
      </w:r>
      <w:r>
        <w:rPr>
          <w:color w:val="000000"/>
        </w:rPr>
        <w:t>quy định tại các</w:t>
      </w:r>
      <w:r>
        <w:rPr>
          <w:color w:val="000000"/>
          <w:lang w:val="vi-VN"/>
        </w:rPr>
        <w:t xml:space="preserve"> </w:t>
      </w:r>
      <w:r>
        <w:rPr>
          <w:color w:val="000000"/>
        </w:rPr>
        <w:t>điểm</w:t>
      </w:r>
      <w:r>
        <w:rPr>
          <w:color w:val="000000"/>
          <w:lang w:val="vi-VN"/>
        </w:rPr>
        <w:t xml:space="preserve"> a, c, đ </w:t>
      </w:r>
      <w:r>
        <w:rPr>
          <w:color w:val="000000"/>
        </w:rPr>
        <w:t>khoản 2 Điều 69 Nghị định số 165/2026/NĐ-CP ngày 15 tháng 5 năm 2026 của Chính phủ</w:t>
      </w:r>
      <w:r>
        <w:rPr>
          <w:color w:val="000000"/>
          <w:lang w:val="vi-VN"/>
        </w:rPr>
        <w:t xml:space="preserve"> được Quỹ bảo hiểm y tế thanh toán chi phí khám sức khỏe định kỳ trong phạm vi quyền lợi bảo hiểm y tế bao gồm:</w:t>
      </w:r>
    </w:p>
    <w:p>
      <w:pPr>
        <w:pStyle w:val="Normal"/>
        <w:spacing w:before="120" w:after="120"/>
        <w:ind w:firstLine="720"/>
        <w:jc w:val="both"/>
        <w:rPr>
          <w:color w:val="000000"/>
        </w:rPr>
      </w:pPr>
      <w:r>
        <w:rPr>
          <w:color w:val="000000"/>
        </w:rPr>
        <w:t>1.</w:t>
      </w:r>
      <w:r>
        <w:rPr>
          <w:color w:val="000000"/>
          <w:lang w:val="vi-VN"/>
        </w:rPr>
        <w:t xml:space="preserve"> </w:t>
      </w:r>
      <w:r>
        <w:rPr>
          <w:color w:val="000000"/>
        </w:rPr>
        <w:t>Người cao tuổi, người khuyết tật, người thuộc hộ nghèo, cận nghèo, người có công, người mắc bệnh mạn tính, người sống tại vùng đồng bào dân tộc thiểu số và miền núi, vùng có điều kiện kinh tế - xã hội khó khăn, đặc biệt khó khăn, xã đảo, đặc khu và không thuộc</w:t>
      </w:r>
      <w:r>
        <w:rPr>
          <w:color w:val="000000"/>
          <w:lang w:val="vi-VN"/>
        </w:rPr>
        <w:t xml:space="preserve"> đối tượng </w:t>
      </w:r>
      <w:r>
        <w:rPr>
          <w:color w:val="000000"/>
        </w:rPr>
        <w:t>quy định tại các điểm b, c và d khoản 2 Điều 69 Nghị định số 165/2026/NĐ-CP ngày 15 tháng 5 năm 2026 của Chính phủ.</w:t>
      </w:r>
    </w:p>
    <w:p>
      <w:pPr>
        <w:pStyle w:val="Normal"/>
        <w:spacing w:before="120" w:after="120"/>
        <w:ind w:firstLine="720"/>
        <w:jc w:val="both"/>
        <w:rPr>
          <w:color w:val="000000"/>
        </w:rPr>
      </w:pPr>
      <w:r>
        <w:rPr>
          <w:color w:val="000000"/>
        </w:rPr>
        <w:t>2. Người thuộc nhóm tự đóng bảo hiểm y tế theo quy định tại khoản 5 Điều 12 của Luật Bảo hiểm y t</w:t>
      </w:r>
      <w:r>
        <w:rPr>
          <w:color w:val="000000"/>
          <w:lang w:val="vi-VN"/>
        </w:rPr>
        <w:t xml:space="preserve">ế, </w:t>
      </w:r>
      <w:r>
        <w:rPr>
          <w:color w:val="000000"/>
        </w:rPr>
        <w:t xml:space="preserve">sinh </w:t>
      </w:r>
      <w:r>
        <w:rPr/>
        <w:t>viên, học viên sau đại</w:t>
      </w:r>
      <w:r>
        <w:rPr>
          <w:lang w:val="vi-VN"/>
        </w:rPr>
        <w:t xml:space="preserve"> </w:t>
      </w:r>
      <w:r>
        <w:rPr/>
        <w:t>học</w:t>
      </w:r>
      <w:r>
        <w:rPr>
          <w:lang w:val="vi-VN"/>
        </w:rPr>
        <w:t>,</w:t>
      </w:r>
      <w:r>
        <w:rPr/>
        <w:t xml:space="preserve"> các đối </w:t>
      </w:r>
      <w:r>
        <w:rPr>
          <w:color w:val="000000"/>
        </w:rPr>
        <w:t>tượng khác và không thuộc</w:t>
      </w:r>
      <w:r>
        <w:rPr>
          <w:color w:val="000000"/>
          <w:lang w:val="vi-VN"/>
        </w:rPr>
        <w:t xml:space="preserve"> đối tượng </w:t>
      </w:r>
      <w:r>
        <w:rPr>
          <w:color w:val="000000"/>
        </w:rPr>
        <w:t>quy định tại các điểm b, c và d khoản 2 Điều 69 Nghị định số 165/2026/NĐ-CP ngày 15 tháng 5 năm 2026 của Chính phủ.</w:t>
      </w:r>
    </w:p>
    <w:p>
      <w:pPr>
        <w:pStyle w:val="Normal"/>
        <w:spacing w:before="120" w:after="120"/>
        <w:ind w:firstLine="720"/>
        <w:jc w:val="both"/>
        <w:rPr>
          <w:color w:val="000000"/>
          <w:lang w:val="vi-VN"/>
        </w:rPr>
      </w:pPr>
      <w:r>
        <w:rPr>
          <w:color w:val="000000"/>
        </w:rPr>
        <w:t>3</w:t>
      </w:r>
      <w:r>
        <w:rPr>
          <w:color w:val="000000"/>
          <w:lang w:val="vi-VN"/>
        </w:rPr>
        <w:t>. Trẻ em trong cơ sở giáo dục mầm non, học sinh trong các cơ sở giáo dục phổ thông theo quy định của pháp luật về công tác y tế trường học.</w:t>
      </w:r>
    </w:p>
    <w:p>
      <w:pPr>
        <w:pStyle w:val="Normal"/>
        <w:spacing w:before="120" w:after="120"/>
        <w:ind w:firstLine="720"/>
        <w:jc w:val="both"/>
        <w:rPr/>
      </w:pPr>
      <w:r>
        <w:rPr>
          <w:b/>
        </w:rPr>
        <w:t>Điều 3. Điều kiện thanh toán chi phí khám sức khỏe định kỳ</w:t>
      </w:r>
    </w:p>
    <w:p>
      <w:pPr>
        <w:pStyle w:val="Normal"/>
        <w:spacing w:before="120" w:after="120"/>
        <w:ind w:firstLine="720"/>
        <w:jc w:val="both"/>
        <w:rPr>
          <w:bCs/>
        </w:rPr>
      </w:pPr>
      <w:r>
        <w:rPr>
          <w:bCs/>
        </w:rPr>
        <w:t xml:space="preserve">1. Quỹ bảo hiểm y tế thanh toán tối đa một lần khám sức khỏe định kỳ hoặc </w:t>
      </w:r>
      <w:r>
        <w:rPr>
          <w:color w:val="000000"/>
        </w:rPr>
        <w:t>kiểm tra sức khoẻ</w:t>
      </w:r>
      <w:r>
        <w:rPr>
          <w:bCs/>
        </w:rPr>
        <w:t xml:space="preserve"> trong một năm cho</w:t>
      </w:r>
      <w:r>
        <w:rPr>
          <w:bCs/>
          <w:lang w:val="vi-VN"/>
        </w:rPr>
        <w:t xml:space="preserve"> m</w:t>
      </w:r>
      <w:r>
        <w:rPr>
          <w:bCs/>
        </w:rPr>
        <w:t>ỗi đối tượng. Nội dung khám sức khoẻ định kỳ, kiểm tra sức khoẻ thực hiện theo quy định, hướng dẫn chuyên môn của Bộ Y tế.</w:t>
      </w:r>
    </w:p>
    <w:p>
      <w:pPr>
        <w:pStyle w:val="Normal"/>
        <w:spacing w:before="120" w:after="120"/>
        <w:ind w:firstLine="720"/>
        <w:jc w:val="both"/>
        <w:rPr/>
      </w:pPr>
      <w:r>
        <w:rPr>
          <w:bCs/>
        </w:rPr>
        <w:t xml:space="preserve">2. </w:t>
      </w:r>
      <w:r>
        <w:rPr/>
        <w:t>Cơ sở khám bệnh, chữa bệnh thực hiện khám sức khỏe định kỳ</w:t>
      </w:r>
      <w:r>
        <w:rPr>
          <w:lang w:val="vi-VN"/>
        </w:rPr>
        <w:t>, kiểm tra sức khỏe</w:t>
      </w:r>
      <w:r>
        <w:rPr/>
        <w:t xml:space="preserve"> là cơ sở </w:t>
      </w:r>
      <w:r>
        <w:rPr>
          <w:lang w:val="vi-VN"/>
        </w:rPr>
        <w:t>có ký hợp đồng</w:t>
      </w:r>
      <w:r>
        <w:rPr/>
        <w:t xml:space="preserve"> khám bệnh, chữa bệnh </w:t>
      </w:r>
      <w:r>
        <w:rPr>
          <w:lang w:val="vi-VN"/>
        </w:rPr>
        <w:t>bảo hiểm y tế</w:t>
      </w:r>
      <w:r>
        <w:rPr/>
        <w:t xml:space="preserve"> với cơ quan bảo hiểm xã hội như sau:</w:t>
      </w:r>
    </w:p>
    <w:p>
      <w:pPr>
        <w:pStyle w:val="NormalWeb"/>
        <w:spacing w:beforeAutospacing="0" w:before="120" w:afterAutospacing="0" w:after="120"/>
        <w:ind w:firstLine="720"/>
        <w:jc w:val="both"/>
        <w:rPr>
          <w:sz w:val="28"/>
          <w:szCs w:val="28"/>
        </w:rPr>
      </w:pPr>
      <w:r>
        <w:rPr>
          <w:sz w:val="28"/>
          <w:szCs w:val="28"/>
          <w:lang w:val="vi-VN"/>
        </w:rPr>
        <w:t>a) Trạm y tế cấp x</w:t>
      </w:r>
      <w:r>
        <w:rPr>
          <w:sz w:val="28"/>
          <w:szCs w:val="28"/>
        </w:rPr>
        <w:t>ã</w:t>
      </w:r>
      <w:r>
        <w:rPr>
          <w:sz w:val="28"/>
          <w:szCs w:val="28"/>
          <w:lang w:val="vi-VN"/>
        </w:rPr>
        <w:t>,</w:t>
      </w:r>
      <w:r>
        <w:rPr>
          <w:sz w:val="28"/>
          <w:szCs w:val="28"/>
        </w:rPr>
        <w:t xml:space="preserve"> cơ sở khám bệnh, chữa bệnh </w:t>
      </w:r>
      <w:r>
        <w:rPr>
          <w:sz w:val="28"/>
          <w:szCs w:val="28"/>
          <w:lang w:val="vi-VN"/>
        </w:rPr>
        <w:t xml:space="preserve">thuộc </w:t>
      </w:r>
      <w:r>
        <w:rPr>
          <w:sz w:val="28"/>
          <w:szCs w:val="28"/>
        </w:rPr>
        <w:t>cấp ban</w:t>
      </w:r>
      <w:r>
        <w:rPr>
          <w:sz w:val="28"/>
          <w:szCs w:val="28"/>
          <w:lang w:val="vi-VN"/>
        </w:rPr>
        <w:t xml:space="preserve"> đầu và </w:t>
      </w:r>
      <w:r>
        <w:rPr>
          <w:sz w:val="28"/>
          <w:szCs w:val="28"/>
        </w:rPr>
        <w:t>cấp</w:t>
      </w:r>
      <w:r>
        <w:rPr>
          <w:sz w:val="28"/>
          <w:szCs w:val="28"/>
          <w:lang w:val="vi-VN"/>
        </w:rPr>
        <w:t xml:space="preserve"> cơ bản dưới 50 điểm </w:t>
      </w:r>
      <w:r>
        <w:rPr>
          <w:sz w:val="28"/>
          <w:szCs w:val="28"/>
        </w:rPr>
        <w:t>được tiếp nhận khám</w:t>
      </w:r>
      <w:r>
        <w:rPr>
          <w:sz w:val="28"/>
          <w:szCs w:val="28"/>
          <w:lang w:val="vi-VN"/>
        </w:rPr>
        <w:t>, kiểm tra</w:t>
      </w:r>
      <w:r>
        <w:rPr>
          <w:sz w:val="28"/>
          <w:szCs w:val="28"/>
        </w:rPr>
        <w:t xml:space="preserve"> đối với tất cả các đối tượng;</w:t>
      </w:r>
    </w:p>
    <w:p>
      <w:pPr>
        <w:pStyle w:val="NormalWeb"/>
        <w:spacing w:beforeAutospacing="0" w:before="120" w:afterAutospacing="0" w:after="120"/>
        <w:ind w:firstLine="720"/>
        <w:jc w:val="both"/>
        <w:rPr>
          <w:sz w:val="28"/>
          <w:szCs w:val="28"/>
          <w:lang w:val="vi-VN"/>
        </w:rPr>
      </w:pPr>
      <w:r>
        <w:rPr>
          <w:sz w:val="28"/>
          <w:szCs w:val="28"/>
          <w:lang w:val="vi-VN"/>
        </w:rPr>
        <w:t xml:space="preserve">b) Cơ sở khám bệnh, chữa bệnh bảo hiểm y tế thuộc </w:t>
      </w:r>
      <w:r>
        <w:rPr>
          <w:sz w:val="28"/>
          <w:szCs w:val="28"/>
        </w:rPr>
        <w:t>cấp</w:t>
      </w:r>
      <w:r>
        <w:rPr>
          <w:sz w:val="28"/>
          <w:szCs w:val="28"/>
          <w:lang w:val="vi-VN"/>
        </w:rPr>
        <w:t xml:space="preserve"> cơ bản trên 50 điểm và</w:t>
      </w:r>
      <w:r>
        <w:rPr>
          <w:sz w:val="28"/>
          <w:szCs w:val="28"/>
        </w:rPr>
        <w:t xml:space="preserve"> cấp chuyên sâu</w:t>
      </w:r>
      <w:r>
        <w:rPr>
          <w:sz w:val="28"/>
          <w:szCs w:val="28"/>
          <w:lang w:val="vi-VN"/>
        </w:rPr>
        <w:t xml:space="preserve"> </w:t>
      </w:r>
      <w:r>
        <w:rPr>
          <w:sz w:val="28"/>
          <w:szCs w:val="28"/>
        </w:rPr>
        <w:t>được tiếp nhận khám đối với</w:t>
      </w:r>
      <w:r>
        <w:rPr>
          <w:sz w:val="28"/>
          <w:szCs w:val="28"/>
          <w:lang w:val="vi-VN"/>
        </w:rPr>
        <w:t xml:space="preserve"> người </w:t>
      </w:r>
      <w:r>
        <w:rPr>
          <w:sz w:val="28"/>
          <w:szCs w:val="28"/>
        </w:rPr>
        <w:t xml:space="preserve">có </w:t>
      </w:r>
      <w:r>
        <w:rPr>
          <w:sz w:val="28"/>
          <w:szCs w:val="28"/>
          <w:lang w:val="vi-VN"/>
        </w:rPr>
        <w:t>đăng ký khám bệnh, chữa bệnh bảo hiểm y tế ban đầu</w:t>
      </w:r>
      <w:r>
        <w:rPr>
          <w:sz w:val="28"/>
          <w:szCs w:val="28"/>
        </w:rPr>
        <w:t xml:space="preserve"> tại cơ sở</w:t>
      </w:r>
      <w:r>
        <w:rPr>
          <w:sz w:val="28"/>
          <w:szCs w:val="28"/>
          <w:lang w:val="vi-VN"/>
        </w:rPr>
        <w:t>.</w:t>
      </w:r>
    </w:p>
    <w:p>
      <w:pPr>
        <w:pStyle w:val="Normal"/>
        <w:spacing w:before="120" w:after="120"/>
        <w:ind w:firstLine="720"/>
        <w:jc w:val="both"/>
        <w:rPr>
          <w:bCs/>
        </w:rPr>
      </w:pPr>
      <w:r>
        <w:rPr/>
        <w:t>3. Việc khám sức khỏe định kỳ hoặc kiểm tra sức khoẻ được tổ chức tại cơ sở khám bệnh, chữa bệnh hoặc</w:t>
      </w:r>
      <w:r>
        <w:rPr>
          <w:lang w:val="vi-VN"/>
        </w:rPr>
        <w:t xml:space="preserve"> tổ chức khám </w:t>
      </w:r>
      <w:r>
        <w:rPr/>
        <w:t>lưu động tại cơ quan, tổ chức, đơn vị</w:t>
      </w:r>
      <w:r>
        <w:rPr>
          <w:lang w:val="vi-VN"/>
        </w:rPr>
        <w:t>, nơi cứ trú</w:t>
      </w:r>
      <w:r>
        <w:rPr/>
        <w:t xml:space="preserve"> </w:t>
      </w:r>
      <w:r>
        <w:rPr>
          <w:lang w:val="vi-VN"/>
        </w:rPr>
        <w:t>theo</w:t>
      </w:r>
      <w:r>
        <w:rPr/>
        <w:t xml:space="preserve"> quy định của pháp luật về </w:t>
      </w:r>
      <w:r>
        <w:rPr>
          <w:lang w:val="vi-VN"/>
        </w:rPr>
        <w:t>khám bệnh, chữa bệnh.</w:t>
      </w:r>
      <w:r>
        <w:rPr/>
        <w:t xml:space="preserve"> Một số đối tượng đặc thù là người khuyết tật nặng, đặc biệt nặng, người trên 80 tuổi, người sinh sống trong cơ sở bảo trợ xã hội không thể đến cơ sở khám bệnh, chữa bệnh</w:t>
      </w:r>
      <w:r>
        <w:rPr>
          <w:lang w:val="vi-VN"/>
        </w:rPr>
        <w:t xml:space="preserve"> có thể được </w:t>
      </w:r>
      <w:r>
        <w:rPr/>
        <w:t xml:space="preserve">cơ sở khám bệnh, chữa bệnh </w:t>
      </w:r>
      <w:r>
        <w:rPr>
          <w:lang w:val="vi-VN"/>
        </w:rPr>
        <w:t xml:space="preserve">tổ chức khám </w:t>
      </w:r>
      <w:r>
        <w:rPr/>
        <w:t>lưu động tại nơi cư trú</w:t>
      </w:r>
      <w:r>
        <w:rPr>
          <w:lang w:val="vi-VN"/>
        </w:rPr>
        <w:t xml:space="preserve"> theo phân công nhiệm vụ của chính quyền địa phương và khả năng thực tế của địa phương</w:t>
      </w:r>
      <w:r>
        <w:rPr/>
        <w:t>.</w:t>
      </w:r>
    </w:p>
    <w:p>
      <w:pPr>
        <w:pStyle w:val="Normal"/>
        <w:spacing w:before="120" w:after="120"/>
        <w:ind w:firstLine="720"/>
        <w:jc w:val="both"/>
        <w:rPr>
          <w:color w:val="000000"/>
          <w:shd w:fill="FFFFFF" w:val="clear"/>
        </w:rPr>
      </w:pPr>
      <w:r>
        <w:rPr>
          <w:bCs/>
        </w:rPr>
        <w:t>4. T</w:t>
      </w:r>
      <w:r>
        <w:rPr>
          <w:lang w:val="vi-VN"/>
        </w:rPr>
        <w:t>rạm y tế cấp x</w:t>
      </w:r>
      <w:r>
        <w:rPr/>
        <w:t xml:space="preserve">ã </w:t>
      </w:r>
      <w:r>
        <w:rPr>
          <w:color w:val="000000"/>
          <w:shd w:fill="FFFFFF" w:val="clear"/>
        </w:rPr>
        <w:t>tổ chức kiểm tra sức khoẻ cho trẻ em, học sinh, sinh viên</w:t>
      </w:r>
      <w:r>
        <w:rPr>
          <w:color w:val="000000"/>
          <w:shd w:fill="FFFFFF" w:val="clear"/>
          <w:lang w:val="vi-VN"/>
        </w:rPr>
        <w:t xml:space="preserve"> </w:t>
      </w:r>
      <w:r>
        <w:rPr>
          <w:color w:val="000000"/>
          <w:shd w:fill="FFFFFF" w:val="clear"/>
        </w:rPr>
        <w:t>theo quy định về y tế trường học và chăm sóc sức khoẻ ban đầu</w:t>
      </w:r>
      <w:r>
        <w:rPr>
          <w:color w:val="000000"/>
          <w:shd w:fill="FFFFFF" w:val="clear"/>
          <w:lang w:val="vi-VN"/>
        </w:rPr>
        <w:t xml:space="preserve"> và</w:t>
      </w:r>
      <w:r>
        <w:rPr>
          <w:bCs/>
        </w:rPr>
        <w:t xml:space="preserve"> được ký hợp đồng hỗ trợ chuyên môn về nhân lực, thiết bị y tế với các cơ sở khám bệnh, chữa bệnh để bảo đảm điều kiện </w:t>
      </w:r>
      <w:r>
        <w:rPr>
          <w:color w:val="000000"/>
          <w:shd w:fill="FFFFFF" w:val="clear"/>
        </w:rPr>
        <w:t xml:space="preserve">khám sức khỏe định kỳ theo quy định của pháp luật về khám bệnh, chữa bệnh. </w:t>
      </w:r>
    </w:p>
    <w:p>
      <w:pPr>
        <w:pStyle w:val="Normal"/>
        <w:spacing w:before="120" w:after="120"/>
        <w:ind w:firstLine="720"/>
        <w:jc w:val="both"/>
        <w:rPr/>
      </w:pPr>
      <w:r>
        <w:rPr>
          <w:color w:val="000000"/>
          <w:shd w:fill="FFFFFF" w:val="clear"/>
        </w:rPr>
        <w:t xml:space="preserve">5. </w:t>
      </w:r>
      <w:r>
        <w:rPr/>
        <w:t>Người tham gia bảo hiểm y tế, cơ sở khám bệnh, chữa bệnh bảo hiểm y tế, cơ quan bảo hiểm xã hội thực hiện thủ tục khám, giám định, thanh toán, quyết toán chi phí khám sức khỏe định kỳ theo quy định của pháp luật về bảo hiểm y tế.</w:t>
      </w:r>
    </w:p>
    <w:p>
      <w:pPr>
        <w:pStyle w:val="Normal"/>
        <w:spacing w:before="120" w:after="120"/>
        <w:ind w:firstLine="720"/>
        <w:jc w:val="both"/>
        <w:rPr/>
      </w:pPr>
      <w:r>
        <w:rPr>
          <w:lang w:val="vi-VN"/>
        </w:rPr>
        <w:t>6</w:t>
      </w:r>
      <w:r>
        <w:rPr/>
        <w:t>. Đối với các dịch vụ kỹ thuật cận lâm sàng, tuỳ theo yêu cầu chuyên môn và tình trạng</w:t>
      </w:r>
      <w:r>
        <w:rPr>
          <w:lang w:val="vi-VN"/>
        </w:rPr>
        <w:t xml:space="preserve"> sức khỏe</w:t>
      </w:r>
      <w:r>
        <w:rPr/>
        <w:t xml:space="preserve"> của người</w:t>
      </w:r>
      <w:r>
        <w:rPr>
          <w:lang w:val="vi-VN"/>
        </w:rPr>
        <w:t xml:space="preserve"> </w:t>
      </w:r>
      <w:r>
        <w:rPr/>
        <w:t>được</w:t>
      </w:r>
      <w:r>
        <w:rPr>
          <w:lang w:val="vi-VN"/>
        </w:rPr>
        <w:t xml:space="preserve"> khám</w:t>
      </w:r>
      <w:r>
        <w:rPr/>
        <w:t xml:space="preserve">, bác sỹ khám quyết định việc sử dụng lại thông tin, kết quả khám sức khoẻ, khám bệnh, chữa bệnh trước đó của người bệnh hoặc chỉ định mới, chỉ định bổ sung. </w:t>
      </w:r>
    </w:p>
    <w:p>
      <w:pPr>
        <w:pStyle w:val="NormalWeb"/>
        <w:spacing w:beforeAutospacing="0" w:before="120" w:afterAutospacing="0" w:after="120"/>
        <w:ind w:firstLine="709"/>
        <w:jc w:val="both"/>
        <w:rPr>
          <w:b/>
          <w:bCs/>
          <w:sz w:val="28"/>
          <w:szCs w:val="28"/>
        </w:rPr>
      </w:pPr>
      <w:r>
        <w:rPr>
          <w:b/>
          <w:bCs/>
          <w:sz w:val="28"/>
          <w:szCs w:val="28"/>
        </w:rPr>
        <w:t>Điều 4. Thanh toán chi phí và danh mục dịch vụ kỹ thuật khám sức khoẻ định kỳ</w:t>
      </w:r>
    </w:p>
    <w:p>
      <w:pPr>
        <w:pStyle w:val="Normal"/>
        <w:spacing w:before="120" w:after="120"/>
        <w:ind w:firstLine="720"/>
        <w:jc w:val="both"/>
        <w:rPr>
          <w:color w:val="000000"/>
          <w:shd w:fill="FFFFFF" w:val="clear"/>
        </w:rPr>
      </w:pPr>
      <w:r>
        <w:rPr>
          <w:color w:val="000000"/>
          <w:shd w:fill="FFFFFF" w:val="clear"/>
        </w:rPr>
        <w:t>1. Thanh toán chi phí</w:t>
      </w:r>
    </w:p>
    <w:p>
      <w:pPr>
        <w:pStyle w:val="Normal"/>
        <w:spacing w:before="120" w:after="120"/>
        <w:ind w:firstLine="720"/>
        <w:jc w:val="both"/>
        <w:rPr>
          <w:color w:val="000000"/>
          <w:shd w:fill="FFFFFF" w:val="clear"/>
        </w:rPr>
      </w:pPr>
      <w:r>
        <w:rPr>
          <w:color w:val="000000"/>
          <w:shd w:fill="FFFFFF" w:val="clear"/>
        </w:rPr>
        <w:t>a) Chi phí khám sức khỏe định kỳ đối với người trên 18 tuổi bao gồm tiền công khám, chi phí thực hiện dịch vụ kỹ thuật, chi phí cập nhật hồ sơ quản lý sức khoẻ theo lộ trình cân đối quỹ bảo hiểm y tế. Mức thanh toán tối đa cho 01 lần khám sức khoẻ định kỳ đối với người trên 18 tuổi không vượt quá 350.000 đồng/người/lần/năm</w:t>
      </w:r>
      <w:r>
        <w:rPr>
          <w:color w:val="000000"/>
          <w:shd w:fill="FFFFFF" w:val="clear"/>
          <w:lang w:val="vi-VN"/>
        </w:rPr>
        <w:t>;</w:t>
      </w:r>
    </w:p>
    <w:p>
      <w:pPr>
        <w:pStyle w:val="Normal"/>
        <w:spacing w:before="120" w:after="120"/>
        <w:ind w:firstLine="720"/>
        <w:jc w:val="both"/>
        <w:rPr>
          <w:color w:val="000000"/>
          <w:shd w:fill="FFFFFF" w:val="clear"/>
          <w:lang w:val="vi-VN"/>
        </w:rPr>
      </w:pPr>
      <w:r>
        <w:rPr>
          <w:color w:val="000000"/>
          <w:shd w:fill="FFFFFF" w:val="clear"/>
        </w:rPr>
        <w:t>b) Chi phí khám sức khỏe định kỳ, kiểm tra sức khoẻ đầu năm học đối với người từ 6-18 tuổi theo năm học bao gồm tiền công khám, chi phí thực hiện kiểm tra theo các chỉ số chuyên môn và chi phí cập nhật hồ sơ quản lý sức khoẻ được thực hiện tự cân đối trong số kinh phí dành cho chăm sóc sức khoẻ ban đầu được trích lại từ số thu bảo hiểm y tế theo quy định của pháp luật về bảo hiểm y tế.</w:t>
      </w:r>
      <w:r>
        <w:rPr>
          <w:color w:val="000000"/>
          <w:shd w:fill="FFFFFF" w:val="clear"/>
          <w:lang w:val="vi-VN"/>
        </w:rPr>
        <w:t xml:space="preserve"> Trường hợp nguồn kinh phí này không đủ thì thực hiện thanh toán từ số kinh phí của Quỹ bảo hiểm y tế phân bổ cho khám bệnh, chữa bệnh hoặc quỹ dự phòng. </w:t>
      </w:r>
      <w:r>
        <w:rPr>
          <w:color w:val="000000"/>
          <w:shd w:fill="FFFFFF" w:val="clear"/>
        </w:rPr>
        <w:t>Mức thanh toán tối đa cho 01 lần kiểm</w:t>
      </w:r>
      <w:r>
        <w:rPr>
          <w:color w:val="000000"/>
          <w:shd w:fill="FFFFFF" w:val="clear"/>
          <w:lang w:val="vi-VN"/>
        </w:rPr>
        <w:t xml:space="preserve"> tra</w:t>
      </w:r>
      <w:r>
        <w:rPr>
          <w:color w:val="000000"/>
          <w:shd w:fill="FFFFFF" w:val="clear"/>
        </w:rPr>
        <w:t xml:space="preserve"> sức khoẻ không vượt quá 250.000 đồng/người/lần/năm</w:t>
      </w:r>
      <w:r>
        <w:rPr>
          <w:color w:val="000000"/>
          <w:shd w:fill="FFFFFF" w:val="clear"/>
          <w:lang w:val="vi-VN"/>
        </w:rPr>
        <w:t>;</w:t>
      </w:r>
    </w:p>
    <w:p>
      <w:pPr>
        <w:pStyle w:val="Normal"/>
        <w:spacing w:before="120" w:after="120"/>
        <w:ind w:firstLine="720"/>
        <w:jc w:val="both"/>
        <w:rPr>
          <w:color w:val="000000"/>
          <w:shd w:fill="FFFFFF" w:val="clear"/>
          <w:lang w:val="vi-VN"/>
        </w:rPr>
      </w:pPr>
      <w:r>
        <w:rPr>
          <w:color w:val="000000"/>
          <w:shd w:fill="FFFFFF" w:val="clear"/>
        </w:rPr>
        <w:t>c) Chi phí khám sức khỏe định kỳ, kiểm tra sức khoẻ đầu năm học đối với trẻ em dưới 6 tuổi theo năm học bao gồm tiền công khám, chi phí thực hiện kiểm tra theo các chỉ số chuyên môn và chi phí cập nhật hồ sơ quản lý sức khoẻ được thực hiện tự cân đối trong số kinh phí dành cho chăm sóc sức khoẻ ban đầu được trích lại từ số thu bảo hiểm y tế theo quy định của pháp luật về bảo hiểm y tế.</w:t>
      </w:r>
      <w:r>
        <w:rPr>
          <w:color w:val="000000"/>
          <w:shd w:fill="FFFFFF" w:val="clear"/>
          <w:lang w:val="vi-VN"/>
        </w:rPr>
        <w:t xml:space="preserve"> Trường hợp nguồn kinh phí này không đủ thì thực hiện thanh toán từ số kinh phí của Quỹ bảo hiểm y tế phân bổ cho khám bệnh, chữa bệnh hoặc quỹ dự phòng. </w:t>
      </w:r>
      <w:r>
        <w:rPr>
          <w:color w:val="000000"/>
          <w:shd w:fill="FFFFFF" w:val="clear"/>
        </w:rPr>
        <w:t>Mức thanh toán tối đa cho 01 lần kiểm</w:t>
      </w:r>
      <w:r>
        <w:rPr>
          <w:color w:val="000000"/>
          <w:shd w:fill="FFFFFF" w:val="clear"/>
          <w:lang w:val="vi-VN"/>
        </w:rPr>
        <w:t xml:space="preserve"> tra</w:t>
      </w:r>
      <w:r>
        <w:rPr>
          <w:color w:val="000000"/>
          <w:shd w:fill="FFFFFF" w:val="clear"/>
        </w:rPr>
        <w:t xml:space="preserve"> sức khoẻ không vượt quá 200.000 đồng/người/lần/năm</w:t>
      </w:r>
      <w:r>
        <w:rPr>
          <w:color w:val="000000"/>
          <w:shd w:fill="FFFFFF" w:val="clear"/>
          <w:lang w:val="vi-VN"/>
        </w:rPr>
        <w:t>;</w:t>
      </w:r>
    </w:p>
    <w:p>
      <w:pPr>
        <w:pStyle w:val="Normal"/>
        <w:spacing w:before="120" w:after="120"/>
        <w:ind w:firstLine="720"/>
        <w:jc w:val="both"/>
        <w:rPr/>
      </w:pPr>
      <w:r>
        <w:rPr>
          <w:color w:val="000000"/>
          <w:shd w:fill="FFFFFF" w:val="clear"/>
        </w:rPr>
        <w:t>d) Trường hợp thực hiện dịch vụ y tế bổ sung ngoài phạm vi khám sức khỏe định kỳ, người dân tự chi trả chi phí đối với các dịch vụ ngoài phạm vi khám sức khỏe định kỳ</w:t>
      </w:r>
      <w:r>
        <w:rPr>
          <w:color w:val="000000"/>
          <w:shd w:fill="FFFFFF" w:val="clear"/>
          <w:lang w:val="vi-VN"/>
        </w:rPr>
        <w:t>;</w:t>
      </w:r>
    </w:p>
    <w:p>
      <w:pPr>
        <w:pStyle w:val="Normal"/>
        <w:spacing w:before="120" w:after="120"/>
        <w:ind w:firstLine="720"/>
        <w:jc w:val="both"/>
        <w:rPr/>
      </w:pPr>
      <w:r>
        <w:rPr/>
        <w:t>đ</w:t>
      </w:r>
      <w:r>
        <w:rPr>
          <w:lang w:val="vi-VN"/>
        </w:rPr>
        <w:t>)</w:t>
      </w:r>
      <w:r>
        <w:rPr/>
        <w:t xml:space="preserve"> Trường hợp người có thẻ bảo hiểm y tế được chỉ định điều trị ngay sau khi khám sức khỏe định kỳ thì chi phí điều trị được thanh toán trong phạm vi quyền lợi, mức hưởng theo quy định của pháp luật về bảo hiểm y tế.</w:t>
      </w:r>
    </w:p>
    <w:p>
      <w:pPr>
        <w:pStyle w:val="Normal"/>
        <w:spacing w:before="120" w:after="120"/>
        <w:ind w:firstLine="720"/>
        <w:jc w:val="both"/>
        <w:rPr>
          <w:color w:val="000000"/>
          <w:shd w:fill="FFFFFF" w:val="clear"/>
        </w:rPr>
      </w:pPr>
      <w:r>
        <w:rPr>
          <w:color w:val="000000"/>
          <w:shd w:fill="FFFFFF" w:val="clear"/>
        </w:rPr>
        <w:t>2. Danh mục dịch vụ kỹ thuật khám sức khỏe định kỳ do quỹ bảo hiểm y tế chi trả đối với người trên 18 tuổi và mức thanh toán cụ thể quy định tại Phụ lục 1 ban hành kèm theo Thông tư này.</w:t>
      </w:r>
    </w:p>
    <w:p>
      <w:pPr>
        <w:pStyle w:val="Normal"/>
        <w:spacing w:before="120" w:after="120"/>
        <w:ind w:firstLine="720"/>
        <w:jc w:val="both"/>
        <w:rPr>
          <w:color w:val="000000"/>
          <w:shd w:fill="FFFFFF" w:val="clear"/>
        </w:rPr>
      </w:pPr>
      <w:r>
        <w:rPr>
          <w:color w:val="000000"/>
          <w:shd w:fill="FFFFFF" w:val="clear"/>
        </w:rPr>
        <w:t>3. Danh mục dịch vụ kỹ thuật khám sức khỏe định kỳ, kiểm tra sức khỏe đầu năm học do quỹ bảo hiểm y tế chi trả đối với người từ 6-18 tuổi và mức thanh toán cụ thể quy định tại Phụ lục 2 ban hành kèm theo Thông tư này.</w:t>
      </w:r>
    </w:p>
    <w:p>
      <w:pPr>
        <w:pStyle w:val="Normal"/>
        <w:ind w:firstLine="720"/>
        <w:jc w:val="both"/>
        <w:rPr>
          <w:color w:val="000000"/>
          <w:shd w:fill="FFFFFF" w:val="clear"/>
        </w:rPr>
      </w:pPr>
      <w:r>
        <w:rPr>
          <w:color w:val="000000"/>
          <w:shd w:fill="FFFFFF" w:val="clear"/>
        </w:rPr>
        <w:t>4. Danh mục dịch vụ kỹ thuật khám sức khỏe định kỳ, kiểm tra sức khỏe đầu năm học do quỹ bảo hiểm y tế chi trả đối với trẻ em dưới 6 tuồi và mức thanh toán cụ thể quy định tại Phụ lục 3 ban hành kèm theo Thông tư này.</w:t>
      </w:r>
    </w:p>
    <w:p>
      <w:pPr>
        <w:pStyle w:val="Normal"/>
        <w:spacing w:before="120" w:after="120"/>
        <w:ind w:firstLine="720"/>
        <w:jc w:val="both"/>
        <w:rPr>
          <w:lang w:val="vi-VN"/>
        </w:rPr>
      </w:pPr>
      <w:r>
        <w:rPr/>
        <w:t>5. Mẫu Bảng kê chi phí khám sức khỏe định kỳ, kiểm tra sức khỏe đầu năm học do Quỹ Bảo hiểm y tế chi trả</w:t>
      </w:r>
      <w:r>
        <w:rPr>
          <w:lang w:val="vi-VN"/>
        </w:rPr>
        <w:t xml:space="preserve"> quy định tại Phụ lục </w:t>
      </w:r>
      <w:r>
        <w:rPr/>
        <w:t>4</w:t>
      </w:r>
      <w:r>
        <w:rPr>
          <w:lang w:val="vi-VN"/>
        </w:rPr>
        <w:t xml:space="preserve"> b</w:t>
      </w:r>
      <w:r>
        <w:rPr/>
        <w:t>an hành kèm theo Thông tư này</w:t>
      </w:r>
      <w:r>
        <w:rPr>
          <w:lang w:val="vi-VN"/>
        </w:rPr>
        <w:t xml:space="preserve">. </w:t>
      </w:r>
      <w:r>
        <w:rPr/>
        <w:t>Trong một lần khám sức</w:t>
      </w:r>
      <w:r>
        <w:rPr>
          <w:lang w:val="vi-VN"/>
        </w:rPr>
        <w:t xml:space="preserve"> khoẻ</w:t>
      </w:r>
      <w:r>
        <w:rPr/>
        <w:t xml:space="preserve"> đối với mỗi người dân, cơ sở khám bệnh, chữa bệnh lập 01 bảng kê chi phí khám sức</w:t>
      </w:r>
      <w:r>
        <w:rPr>
          <w:lang w:val="vi-VN"/>
        </w:rPr>
        <w:t xml:space="preserve"> khỏe</w:t>
      </w:r>
      <w:r>
        <w:rPr/>
        <w:t xml:space="preserve"> để lưu tại cơ</w:t>
      </w:r>
      <w:r>
        <w:rPr>
          <w:lang w:val="vi-VN"/>
        </w:rPr>
        <w:t xml:space="preserve"> sở </w:t>
      </w:r>
      <w:r>
        <w:rPr/>
        <w:t>khám bệnh, chữa bệnh và 01 bảng kê để cung cấp cho người được</w:t>
      </w:r>
      <w:r>
        <w:rPr>
          <w:lang w:val="vi-VN"/>
        </w:rPr>
        <w:t xml:space="preserve"> khám</w:t>
      </w:r>
      <w:r>
        <w:rPr/>
        <w:t>. Trường hợp cơ sở khám bệnh, chữa bệnh đã triển khai bệnh án điện tử thì thực hiện lập bảng kê chi phí khám sức</w:t>
      </w:r>
      <w:r>
        <w:rPr>
          <w:lang w:val="vi-VN"/>
        </w:rPr>
        <w:t xml:space="preserve"> khỏe</w:t>
      </w:r>
      <w:r>
        <w:rPr/>
        <w:t xml:space="preserve"> bản điện tử để</w:t>
      </w:r>
      <w:r>
        <w:rPr>
          <w:lang w:val="vi-VN"/>
        </w:rPr>
        <w:t xml:space="preserve"> lưu trữ </w:t>
      </w:r>
      <w:r>
        <w:rPr/>
        <w:t>và cung cấp bảng kê</w:t>
      </w:r>
      <w:r>
        <w:rPr>
          <w:lang w:val="vi-VN"/>
        </w:rPr>
        <w:t xml:space="preserve"> điện tử</w:t>
      </w:r>
      <w:r>
        <w:rPr/>
        <w:t xml:space="preserve"> cho người được</w:t>
      </w:r>
      <w:r>
        <w:rPr>
          <w:lang w:val="vi-VN"/>
        </w:rPr>
        <w:t xml:space="preserve"> khám </w:t>
      </w:r>
      <w:r>
        <w:rPr/>
        <w:t>qua phương tiện, thiết bị điện tử, không phải lập bảng kê giấy. Bảng kê điện tử có ký số đầy đủ theo quy định thì có giá trị tương đương bản giấy.</w:t>
      </w:r>
    </w:p>
    <w:p>
      <w:pPr>
        <w:pStyle w:val="Normal"/>
        <w:spacing w:before="120" w:after="120"/>
        <w:ind w:firstLine="720"/>
        <w:jc w:val="both"/>
        <w:rPr>
          <w:b/>
          <w:bCs/>
        </w:rPr>
      </w:pPr>
      <w:r>
        <w:rPr>
          <w:b/>
          <w:bCs/>
        </w:rPr>
        <w:t>Điều 5</w:t>
      </w:r>
      <w:r>
        <w:rPr>
          <w:b/>
          <w:bCs/>
          <w:lang w:val="vi-VN"/>
        </w:rPr>
        <w:t>. Quản lý, t</w:t>
      </w:r>
      <w:r>
        <w:rPr>
          <w:b/>
          <w:bCs/>
        </w:rPr>
        <w:t>ổng hợp</w:t>
      </w:r>
      <w:r>
        <w:rPr>
          <w:b/>
          <w:bCs/>
          <w:lang w:val="vi-VN"/>
        </w:rPr>
        <w:t xml:space="preserve"> thông tin,</w:t>
      </w:r>
      <w:r>
        <w:rPr>
          <w:b/>
          <w:bCs/>
        </w:rPr>
        <w:t xml:space="preserve"> dữ liệu</w:t>
      </w:r>
    </w:p>
    <w:p>
      <w:pPr>
        <w:pStyle w:val="Normal"/>
        <w:spacing w:before="120" w:after="120"/>
        <w:ind w:firstLine="720"/>
        <w:jc w:val="both"/>
        <w:rPr/>
      </w:pPr>
      <w:r>
        <w:rPr/>
        <w:t>1. C</w:t>
      </w:r>
      <w:r>
        <w:rPr>
          <w:lang w:val="vi-VN"/>
        </w:rPr>
        <w:t>ác thông tin, dữ liệu</w:t>
      </w:r>
      <w:r>
        <w:rPr/>
        <w:t xml:space="preserve"> về kết quả khám và kết quả cận lâm sàng của</w:t>
      </w:r>
      <w:r>
        <w:rPr>
          <w:lang w:val="vi-VN"/>
        </w:rPr>
        <w:t xml:space="preserve"> người dân đi khám</w:t>
      </w:r>
      <w:r>
        <w:rPr/>
        <w:t xml:space="preserve"> sức khỏe định kỳ</w:t>
      </w:r>
      <w:r>
        <w:rPr>
          <w:lang w:val="vi-VN"/>
        </w:rPr>
        <w:t>, kết quả kiểm tra sức khỏe</w:t>
      </w:r>
      <w:r>
        <w:rPr/>
        <w:t xml:space="preserve"> </w:t>
      </w:r>
      <w:r>
        <w:rPr>
          <w:lang w:val="vi-VN"/>
        </w:rPr>
        <w:t xml:space="preserve">được đồng bộ vào </w:t>
      </w:r>
      <w:r>
        <w:rPr>
          <w:bCs/>
          <w:color w:val="000000"/>
          <w:lang w:val="vi-VN"/>
        </w:rPr>
        <w:t xml:space="preserve">Sổ sức khoẻ điện tử của người dân </w:t>
      </w:r>
      <w:r>
        <w:rPr>
          <w:bCs/>
          <w:color w:val="000000"/>
        </w:rPr>
        <w:t>và được liên thông với các lần khám bệnh, chữa bệnh trước và sau khám sức khỏe định kỳ</w:t>
      </w:r>
      <w:r>
        <w:rPr>
          <w:bCs/>
          <w:color w:val="000000"/>
          <w:lang w:val="vi-VN"/>
        </w:rPr>
        <w:t xml:space="preserve"> để liên thông dữ liệu và tránh chỉ định trùng lặp dịch vụ, đối tượng</w:t>
      </w:r>
      <w:r>
        <w:rPr>
          <w:bCs/>
          <w:color w:val="000000"/>
        </w:rPr>
        <w:t>.</w:t>
      </w:r>
    </w:p>
    <w:p>
      <w:pPr>
        <w:pStyle w:val="Normal"/>
        <w:spacing w:before="120" w:after="120"/>
        <w:ind w:firstLine="720"/>
        <w:jc w:val="both"/>
        <w:rPr>
          <w:lang w:val="vi-VN"/>
        </w:rPr>
      </w:pPr>
      <w:r>
        <w:rPr/>
        <w:t>2</w:t>
      </w:r>
      <w:r>
        <w:rPr>
          <w:lang w:val="vi-VN"/>
        </w:rPr>
        <w:t xml:space="preserve">. </w:t>
      </w:r>
      <w:r>
        <w:rPr/>
        <w:t xml:space="preserve">Cơ sở khám bệnh, chữa bệnh có trách nhiệm </w:t>
      </w:r>
      <w:r>
        <w:rPr>
          <w:lang w:val="vi-VN"/>
        </w:rPr>
        <w:t>gửi</w:t>
      </w:r>
      <w:r>
        <w:rPr/>
        <w:t xml:space="preserve"> dữ liệu</w:t>
      </w:r>
      <w:r>
        <w:rPr>
          <w:lang w:val="vi-VN"/>
        </w:rPr>
        <w:t xml:space="preserve"> điện tử</w:t>
      </w:r>
      <w:r>
        <w:rPr/>
        <w:t xml:space="preserve"> kết quả khám</w:t>
      </w:r>
      <w:r>
        <w:rPr>
          <w:lang w:val="vi-VN"/>
        </w:rPr>
        <w:t xml:space="preserve"> và đề nghị thanh toán chi phí khám sức khỏe định kỳ, kiểm tra sức khỏe từ các nguồn kinh phí</w:t>
      </w:r>
      <w:r>
        <w:rPr/>
        <w:t xml:space="preserve"> lên</w:t>
      </w:r>
      <w:r>
        <w:rPr>
          <w:lang w:val="vi-VN"/>
        </w:rPr>
        <w:t xml:space="preserve"> </w:t>
      </w:r>
      <w:r>
        <w:rPr/>
        <w:t>Cổng dữ liệu</w:t>
      </w:r>
      <w:r>
        <w:rPr>
          <w:lang w:val="vi-VN"/>
        </w:rPr>
        <w:t xml:space="preserve"> sức khoẻ</w:t>
      </w:r>
      <w:r>
        <w:rPr/>
        <w:t xml:space="preserve"> của Bộ Y tế</w:t>
      </w:r>
      <w:r>
        <w:rPr>
          <w:lang w:val="vi-VN"/>
        </w:rPr>
        <w:t xml:space="preserve"> và </w:t>
      </w:r>
      <w:r>
        <w:rPr/>
        <w:t>Cổng</w:t>
      </w:r>
      <w:r>
        <w:rPr>
          <w:lang w:val="vi-VN"/>
        </w:rPr>
        <w:t xml:space="preserve"> tiếp nhận dữ liệu thuộc Hệ thống thông tin </w:t>
      </w:r>
      <w:r>
        <w:rPr/>
        <w:t>giám định bảo hiểm y tế</w:t>
      </w:r>
      <w:r>
        <w:rPr>
          <w:lang w:val="vi-VN"/>
        </w:rPr>
        <w:t xml:space="preserve"> của Bảo hiểm xã hội Việt Nam - Bộ Tài chính.</w:t>
      </w:r>
    </w:p>
    <w:p>
      <w:pPr>
        <w:pStyle w:val="Normal"/>
        <w:spacing w:before="120" w:after="120"/>
        <w:ind w:firstLine="720"/>
        <w:jc w:val="both"/>
        <w:rPr>
          <w:color w:val="000000"/>
          <w:shd w:fill="FFFFFF" w:val="clear"/>
        </w:rPr>
      </w:pPr>
      <w:r>
        <w:rPr>
          <w:lang w:val="vi-VN"/>
        </w:rPr>
        <w:t>3</w:t>
      </w:r>
      <w:r>
        <w:rPr/>
        <w:t>. Dữ liệu thanh toán chi phí khám sức khoẻ định kỳ</w:t>
      </w:r>
      <w:r>
        <w:rPr>
          <w:lang w:val="vi-VN"/>
        </w:rPr>
        <w:t>, kiểm tra sức khỏe</w:t>
      </w:r>
      <w:r>
        <w:rPr/>
        <w:t xml:space="preserve"> được tổng hợp, thống kê, báo cáo, theo dõi riêng.</w:t>
      </w:r>
    </w:p>
    <w:p>
      <w:pPr>
        <w:pStyle w:val="Normal"/>
        <w:shd w:val="clear" w:color="auto" w:fill="FFFFFF" w:themeFill="background1"/>
        <w:spacing w:before="120" w:after="120"/>
        <w:ind w:firstLine="720"/>
        <w:jc w:val="both"/>
        <w:rPr>
          <w:b/>
          <w:color w:themeColor="text1" w:val="000000"/>
          <w:kern w:val="2"/>
          <w:lang w:val="pt-BR"/>
        </w:rPr>
      </w:pPr>
      <w:r>
        <w:rPr>
          <w:b/>
          <w:color w:themeColor="text1" w:val="000000"/>
          <w:kern w:val="2"/>
          <w:lang w:val="pt-BR"/>
        </w:rPr>
        <w:t xml:space="preserve">Điều </w:t>
      </w:r>
      <w:r>
        <w:rPr>
          <w:b/>
          <w:color w:themeColor="text1" w:val="000000"/>
          <w:kern w:val="2"/>
        </w:rPr>
        <w:t>6</w:t>
      </w:r>
      <w:r>
        <w:rPr>
          <w:b/>
          <w:color w:themeColor="text1" w:val="000000"/>
          <w:kern w:val="2"/>
          <w:lang w:val="pt-BR"/>
        </w:rPr>
        <w:t>. Điều khoản thi hành</w:t>
      </w:r>
    </w:p>
    <w:p>
      <w:pPr>
        <w:pStyle w:val="Normal"/>
        <w:shd w:val="clear" w:color="auto" w:fill="FFFFFF" w:themeFill="background1"/>
        <w:spacing w:before="120" w:after="120"/>
        <w:ind w:firstLine="720"/>
        <w:jc w:val="both"/>
        <w:rPr>
          <w:color w:themeColor="text1" w:val="000000"/>
          <w:kern w:val="2"/>
          <w:lang w:val="vi-VN"/>
        </w:rPr>
      </w:pPr>
      <w:r>
        <w:rPr>
          <w:color w:themeColor="text1" w:val="000000"/>
          <w:kern w:val="2"/>
          <w:lang w:val="pt-BR"/>
        </w:rPr>
        <w:t>Thông tư này có hiệu lực từ ngày</w:t>
      </w:r>
      <w:r>
        <w:rPr>
          <w:color w:themeColor="text1" w:val="000000"/>
          <w:kern w:val="2"/>
          <w:lang w:val="vi-VN"/>
        </w:rPr>
        <w:t xml:space="preserve"> </w:t>
      </w:r>
      <w:r>
        <w:rPr>
          <w:color w:themeColor="text1" w:val="000000"/>
          <w:kern w:val="2"/>
        </w:rPr>
        <w:t>01 tháng 01 năm 2027.</w:t>
      </w:r>
    </w:p>
    <w:p>
      <w:pPr>
        <w:pStyle w:val="Normal"/>
        <w:shd w:val="clear" w:color="auto" w:fill="FFFFFF" w:themeFill="background1"/>
        <w:spacing w:before="120" w:after="120"/>
        <w:ind w:firstLine="720"/>
        <w:jc w:val="both"/>
        <w:rPr>
          <w:b/>
          <w:bCs/>
          <w:color w:themeColor="text1" w:val="000000"/>
          <w:kern w:val="2"/>
        </w:rPr>
      </w:pPr>
      <w:r>
        <w:rPr>
          <w:b/>
          <w:bCs/>
          <w:color w:themeColor="text1" w:val="000000"/>
          <w:kern w:val="2"/>
        </w:rPr>
        <w:t>Điều 7. Quy định chuyển tiếp</w:t>
      </w:r>
    </w:p>
    <w:p>
      <w:pPr>
        <w:pStyle w:val="Normal"/>
        <w:shd w:val="clear" w:color="auto" w:fill="FFFFFF" w:themeFill="background1"/>
        <w:spacing w:before="120" w:after="120"/>
        <w:ind w:firstLine="720"/>
        <w:jc w:val="both"/>
        <w:rPr>
          <w:color w:themeColor="text1" w:val="000000"/>
          <w:kern w:val="2"/>
        </w:rPr>
      </w:pPr>
      <w:r>
        <w:rPr>
          <w:color w:themeColor="text1" w:val="000000"/>
          <w:kern w:val="2"/>
        </w:rPr>
        <w:t>Trường hợp các văn bản dẫn chiếu trong Thông tư này bị thay thế hoặc sửa đổi, bổ sung thì thực hiện theo văn bản mới thay thế hoặc văn bản đã được sửa đổi, bổ sung.</w:t>
      </w:r>
    </w:p>
    <w:p>
      <w:pPr>
        <w:pStyle w:val="Heading3"/>
        <w:spacing w:before="120" w:after="120"/>
        <w:ind w:left="567"/>
        <w:jc w:val="both"/>
        <w:rPr>
          <w:rFonts w:ascii="Times New Roman" w:hAnsi="Times New Roman" w:cs="Times New Roman"/>
          <w:color w:val="auto"/>
        </w:rPr>
      </w:pPr>
      <w:r>
        <w:rPr>
          <w:rFonts w:cs="Times New Roman" w:ascii="Times New Roman" w:hAnsi="Times New Roman"/>
          <w:color w:themeColor="text1" w:val="000000"/>
          <w:kern w:val="2"/>
        </w:rPr>
        <w:tab/>
      </w:r>
      <w:r>
        <w:rPr>
          <w:rFonts w:cs="Times New Roman" w:ascii="Times New Roman" w:hAnsi="Times New Roman"/>
          <w:color w:val="auto"/>
        </w:rPr>
        <w:t>Điều 8. Trách nhiệm thực hiện</w:t>
      </w:r>
    </w:p>
    <w:p>
      <w:pPr>
        <w:pStyle w:val="Normal"/>
        <w:spacing w:before="120" w:after="120"/>
        <w:ind w:firstLine="720"/>
        <w:jc w:val="both"/>
        <w:rPr/>
      </w:pPr>
      <w:r>
        <w:rPr/>
        <w:t xml:space="preserve">1. Vụ Bảo hiểm y tế thuộc Bộ Y tế </w:t>
      </w:r>
      <w:r>
        <w:rPr>
          <w:lang w:val="vi-VN"/>
        </w:rPr>
        <w:t>có trách nhiệm</w:t>
      </w:r>
      <w:r>
        <w:rPr/>
        <w:t xml:space="preserve"> chủ trì, phối hợp với các cơ quan, đơn vị liên quan hướng dẫn, tổ chức triển khai, kiểm tra việc thực hiện các quy định tại Thông tư này</w:t>
      </w:r>
      <w:r>
        <w:rPr>
          <w:lang w:val="vi-VN"/>
        </w:rPr>
        <w:t xml:space="preserve"> liên quan đến bảo hiểm y tế</w:t>
      </w:r>
      <w:r>
        <w:rPr/>
        <w:t>.</w:t>
      </w:r>
    </w:p>
    <w:p>
      <w:pPr>
        <w:pStyle w:val="Normal"/>
        <w:spacing w:before="120" w:after="120"/>
        <w:ind w:firstLine="567"/>
        <w:jc w:val="both"/>
        <w:rPr/>
      </w:pPr>
      <w:r>
        <w:rPr/>
        <w:tab/>
        <w:t>2. Cục Quản lý Khám, chữa bệnh thuộc Bộ Y tế</w:t>
      </w:r>
      <w:r>
        <w:rPr>
          <w:lang w:val="vi-VN"/>
        </w:rPr>
        <w:t xml:space="preserve"> </w:t>
      </w:r>
      <w:r>
        <w:rPr/>
        <w:t>chủ</w:t>
      </w:r>
      <w:r>
        <w:rPr>
          <w:lang w:val="vi-VN"/>
        </w:rPr>
        <w:t xml:space="preserve"> trì phối hợp với Cục Trẻ em, Vụ Kế hoạch - Tài chính và các cơ quan, đơn vị liên quan hướng dẫn tổ chức triển khai, kiểm tra việc thực hiện </w:t>
      </w:r>
      <w:r>
        <w:rPr/>
        <w:t>hướng dẫn chuyên môn về khám sức khỏe định kỳ</w:t>
      </w:r>
      <w:r>
        <w:rPr>
          <w:lang w:val="vi-VN"/>
        </w:rPr>
        <w:t xml:space="preserve"> và </w:t>
      </w:r>
      <w:r>
        <w:rPr/>
        <w:t>hướng dẫn, tổ chức triển khai, kiểm tra việc thực hiện các quy định tại Thông tư này</w:t>
      </w:r>
      <w:r>
        <w:rPr>
          <w:lang w:val="vi-VN"/>
        </w:rPr>
        <w:t xml:space="preserve"> liên quan đến lĩnh vực quản lý.</w:t>
      </w:r>
    </w:p>
    <w:p>
      <w:pPr>
        <w:pStyle w:val="Normal"/>
        <w:spacing w:before="120" w:after="120"/>
        <w:ind w:firstLine="567"/>
        <w:jc w:val="both"/>
        <w:rPr/>
      </w:pPr>
      <w:r>
        <w:rPr/>
        <w:tab/>
        <w:t>3. Cục Phòng</w:t>
      </w:r>
      <w:r>
        <w:rPr>
          <w:lang w:val="vi-VN"/>
        </w:rPr>
        <w:t xml:space="preserve"> bệnh </w:t>
      </w:r>
      <w:r>
        <w:rPr/>
        <w:t>thuộc Bộ Y tế</w:t>
      </w:r>
      <w:r>
        <w:rPr>
          <w:lang w:val="vi-VN"/>
        </w:rPr>
        <w:t xml:space="preserve"> </w:t>
      </w:r>
      <w:r>
        <w:rPr/>
        <w:t>chủ</w:t>
      </w:r>
      <w:r>
        <w:rPr>
          <w:lang w:val="vi-VN"/>
        </w:rPr>
        <w:t xml:space="preserve"> trì phối hợp với Cục Quản lý Khám, chữa bệnh, Cục Trẻ em, Vụ Kế hoạch - Tài chính và các cơ quan, đơn vị liên quan tổ chức triển khai, kiểm tra việc thực hiện </w:t>
      </w:r>
      <w:r>
        <w:rPr/>
        <w:t>hướng dẫn chuyên môn về kiểm</w:t>
      </w:r>
      <w:r>
        <w:rPr>
          <w:lang w:val="vi-VN"/>
        </w:rPr>
        <w:t xml:space="preserve"> tra</w:t>
      </w:r>
      <w:r>
        <w:rPr/>
        <w:t xml:space="preserve"> sức khỏe</w:t>
      </w:r>
      <w:r>
        <w:rPr>
          <w:lang w:val="vi-VN"/>
        </w:rPr>
        <w:t xml:space="preserve"> của học sinh, sinh viên theo pháp luật về y tế trường học</w:t>
      </w:r>
      <w:r>
        <w:rPr/>
        <w:t>.</w:t>
      </w:r>
    </w:p>
    <w:p>
      <w:pPr>
        <w:pStyle w:val="Normal"/>
        <w:spacing w:before="120" w:after="120"/>
        <w:ind w:firstLine="720"/>
        <w:jc w:val="both"/>
        <w:rPr>
          <w:lang w:val="vi-VN"/>
        </w:rPr>
      </w:pPr>
      <w:r>
        <w:rPr/>
        <w:t>4</w:t>
      </w:r>
      <w:r>
        <w:rPr>
          <w:lang w:val="vi-VN"/>
        </w:rPr>
        <w:t xml:space="preserve">. </w:t>
      </w:r>
      <w:r>
        <w:rPr/>
        <w:t>Ủy ban nhân dân các tỉnh, thành phố chỉ đạo Sở Y tế và các cơ quan có liên quan thực hiện các nội dung sau đây</w:t>
      </w:r>
      <w:r>
        <w:rPr>
          <w:lang w:val="vi-VN"/>
        </w:rPr>
        <w:t>:</w:t>
      </w:r>
    </w:p>
    <w:p>
      <w:pPr>
        <w:pStyle w:val="Normal"/>
        <w:spacing w:before="120" w:after="120"/>
        <w:ind w:firstLine="720"/>
        <w:jc w:val="both"/>
        <w:rPr/>
      </w:pPr>
      <w:r>
        <w:rPr>
          <w:lang w:val="vi-VN"/>
        </w:rPr>
        <w:t>a) Tổ ch</w:t>
      </w:r>
      <w:r>
        <w:rPr/>
        <w:t>ức,</w:t>
      </w:r>
      <w:r>
        <w:rPr>
          <w:lang w:val="vi-VN"/>
        </w:rPr>
        <w:t xml:space="preserve"> </w:t>
      </w:r>
      <w:r>
        <w:rPr/>
        <w:t>h</w:t>
      </w:r>
      <w:r>
        <w:rPr>
          <w:lang w:val="vi-VN"/>
        </w:rPr>
        <w:t>ướng dẫn, kiểm tra việc thực hiện</w:t>
      </w:r>
      <w:r>
        <w:rPr/>
        <w:t xml:space="preserve"> Thông tư</w:t>
      </w:r>
      <w:r>
        <w:rPr>
          <w:lang w:val="vi-VN"/>
        </w:rPr>
        <w:t xml:space="preserve"> trên địa bàn</w:t>
      </w:r>
      <w:r>
        <w:rPr/>
        <w:t>;</w:t>
      </w:r>
    </w:p>
    <w:p>
      <w:pPr>
        <w:pStyle w:val="Normal"/>
        <w:tabs>
          <w:tab w:val="clear" w:pos="720"/>
          <w:tab w:val="left" w:pos="709" w:leader="none"/>
        </w:tabs>
        <w:spacing w:before="120" w:after="120"/>
        <w:jc w:val="both"/>
        <w:rPr>
          <w:color w:val="000000"/>
          <w:shd w:fill="FFFFFF" w:val="clear"/>
        </w:rPr>
      </w:pPr>
      <w:r>
        <w:rPr/>
        <w:tab/>
      </w:r>
      <w:r>
        <w:rPr>
          <w:color w:val="000000"/>
          <w:shd w:fill="FFFFFF" w:val="clear"/>
        </w:rPr>
        <w:t>b) Thực hiện điều tiết nhân lực, thiết bị y tế và đầu tư ứng dụng công nghệ thông tin cho trạm y tế cấp xã trên địa bàn để tổ chức</w:t>
      </w:r>
      <w:r>
        <w:rPr>
          <w:color w:val="000000"/>
          <w:shd w:fill="FFFFFF" w:val="clear"/>
          <w:lang w:val="vi-VN"/>
        </w:rPr>
        <w:t xml:space="preserve"> thực hiện </w:t>
      </w:r>
      <w:r>
        <w:rPr>
          <w:color w:val="000000"/>
          <w:shd w:fill="FFFFFF" w:val="clear"/>
        </w:rPr>
        <w:t>hiệu quả, chất lượng.</w:t>
        <w:tab/>
      </w:r>
    </w:p>
    <w:p>
      <w:pPr>
        <w:pStyle w:val="Normal"/>
        <w:tabs>
          <w:tab w:val="clear" w:pos="720"/>
          <w:tab w:val="left" w:pos="709" w:leader="none"/>
        </w:tabs>
        <w:spacing w:before="120" w:after="120"/>
        <w:jc w:val="both"/>
        <w:rPr>
          <w:b/>
        </w:rPr>
      </w:pPr>
      <w:r>
        <w:rPr/>
        <w:tab/>
        <w:t>5. Cơ sở khám bệnh, chữa bệnh có trách nhiệm:</w:t>
      </w:r>
    </w:p>
    <w:p>
      <w:pPr>
        <w:pStyle w:val="Normal"/>
        <w:tabs>
          <w:tab w:val="clear" w:pos="720"/>
          <w:tab w:val="left" w:pos="709" w:leader="none"/>
        </w:tabs>
        <w:spacing w:before="120" w:after="120"/>
        <w:jc w:val="both"/>
        <w:rPr>
          <w:b/>
          <w:lang w:val="vi-VN"/>
        </w:rPr>
      </w:pPr>
      <w:r>
        <w:rPr/>
        <w:tab/>
        <w:t>a)</w:t>
      </w:r>
      <w:r>
        <w:rPr>
          <w:bCs/>
          <w:color w:val="000000"/>
          <w:lang w:val="vi-VN"/>
        </w:rPr>
        <w:t xml:space="preserve"> Nâng cấp, chỉnh sửa phần mềm quản lý thông tin bệnh viện (HIS) để đáp ứng thực hiện các quy định của Bộ trưởng Bộ Y tế quy định về chuẩn và định dạng dữ liệu đầu ra </w:t>
      </w:r>
      <w:r>
        <w:rPr/>
        <w:t>phục vụ việc triển khai chính sách khám sức khoẻ định kỳ;</w:t>
      </w:r>
    </w:p>
    <w:p>
      <w:pPr>
        <w:pStyle w:val="Normal"/>
        <w:tabs>
          <w:tab w:val="clear" w:pos="720"/>
          <w:tab w:val="left" w:pos="709" w:leader="none"/>
        </w:tabs>
        <w:spacing w:before="120" w:after="120"/>
        <w:jc w:val="both"/>
        <w:rPr>
          <w:b/>
          <w:bCs/>
        </w:rPr>
      </w:pPr>
      <w:r>
        <w:rPr>
          <w:lang w:val="vi-VN"/>
        </w:rPr>
        <w:tab/>
      </w:r>
      <w:r>
        <w:rPr/>
        <w:t>b)</w:t>
      </w:r>
      <w:r>
        <w:rPr>
          <w:lang w:val="vi-VN"/>
        </w:rPr>
        <w:t xml:space="preserve"> </w:t>
      </w:r>
      <w:r>
        <w:rPr/>
        <w:t>Cung cấp dịch vụ khám sức khỏe định kỳ</w:t>
      </w:r>
      <w:r>
        <w:rPr>
          <w:lang w:val="vi-VN"/>
        </w:rPr>
        <w:t>, kiểm tra sức khỏe</w:t>
      </w:r>
      <w:r>
        <w:rPr/>
        <w:t xml:space="preserve"> theo quy định;</w:t>
      </w:r>
    </w:p>
    <w:p>
      <w:pPr>
        <w:pStyle w:val="Normal"/>
        <w:tabs>
          <w:tab w:val="clear" w:pos="720"/>
          <w:tab w:val="left" w:pos="709" w:leader="none"/>
        </w:tabs>
        <w:spacing w:before="120" w:after="120"/>
        <w:jc w:val="both"/>
        <w:rPr/>
      </w:pPr>
      <w:r>
        <w:rPr/>
        <w:tab/>
        <w:t>c) Chịu trách nhiệm về tính chính xác, trung thực của hồ sơ, kết quả và chi phí kê khai</w:t>
      </w:r>
      <w:r>
        <w:rPr>
          <w:lang w:val="vi-VN"/>
        </w:rPr>
        <w:t>, đề nghị thanh toán, bảo đảm không trùng lắp; chỉ định chuyên môn, sử dụng kinh phí hiệu quả, tiết kiệm</w:t>
      </w:r>
      <w:r>
        <w:rPr/>
        <w:t>.</w:t>
      </w:r>
    </w:p>
    <w:p>
      <w:pPr>
        <w:pStyle w:val="Normal"/>
        <w:tabs>
          <w:tab w:val="clear" w:pos="720"/>
          <w:tab w:val="left" w:pos="709" w:leader="none"/>
        </w:tabs>
        <w:spacing w:before="120" w:after="120"/>
        <w:jc w:val="both"/>
        <w:rPr/>
      </w:pPr>
      <w:r>
        <w:rPr/>
        <w:tab/>
        <w:t>6. Cơ quan bảo hiểm xã hội có trách nhiệm:</w:t>
      </w:r>
    </w:p>
    <w:p>
      <w:pPr>
        <w:pStyle w:val="Normal"/>
        <w:tabs>
          <w:tab w:val="clear" w:pos="720"/>
          <w:tab w:val="left" w:pos="709" w:leader="none"/>
        </w:tabs>
        <w:spacing w:before="120" w:after="120"/>
        <w:jc w:val="both"/>
        <w:rPr/>
      </w:pPr>
      <w:r>
        <w:rPr/>
        <w:tab/>
        <w:t>a) Giám định chi phí khám sức khỏe định kỳ; thanh toán chi phí khám sức khỏe định kỳ theo đúng quy định tại Thông tư này;</w:t>
      </w:r>
    </w:p>
    <w:p>
      <w:pPr>
        <w:pStyle w:val="Normal"/>
        <w:tabs>
          <w:tab w:val="clear" w:pos="720"/>
          <w:tab w:val="left" w:pos="709" w:leader="none"/>
        </w:tabs>
        <w:spacing w:before="120" w:after="120"/>
        <w:jc w:val="both"/>
        <w:rPr>
          <w:lang w:val="vi-VN"/>
        </w:rPr>
      </w:pPr>
      <w:r>
        <w:rPr/>
        <w:tab/>
        <w:t>b) Bảo đảm Cổng tiếp nhận dữ liệu thuộc Hệ thống thông tin giám định bảo hiểm y tế đáp ứng các yêu cầu khi triển khai chính sách khám sức khỏe định kỳ, kết nối Sổ sức khỏe điện tử của người dân;</w:t>
      </w:r>
      <w:r>
        <w:rPr>
          <w:lang w:val="vi-VN"/>
        </w:rPr>
        <w:t xml:space="preserve"> cấp, phân quyền tài khoản tra cứu thông tin cho các cơ sở khám bệnh, chữa bệnh, cơ quan quản lý nhà nước về y tế ở trung ương và địa phương để phục vụ quản lý, tổ chức triển khai, kiểm tra, thống kê, báo cáo;</w:t>
      </w:r>
    </w:p>
    <w:p>
      <w:pPr>
        <w:pStyle w:val="Normal"/>
        <w:tabs>
          <w:tab w:val="clear" w:pos="720"/>
          <w:tab w:val="left" w:pos="709" w:leader="none"/>
        </w:tabs>
        <w:spacing w:before="120" w:after="120"/>
        <w:jc w:val="both"/>
        <w:rPr/>
      </w:pPr>
      <w:r>
        <w:rPr/>
        <w:tab/>
        <w:t>c) Kết nối,</w:t>
      </w:r>
      <w:r>
        <w:rPr>
          <w:lang w:val="vi-VN"/>
        </w:rPr>
        <w:t xml:space="preserve"> liên thông, đồng bộ và</w:t>
      </w:r>
      <w:r>
        <w:rPr/>
        <w:t xml:space="preserve"> chia sẻ dữ liệu khám sức khỏe định kỳ với cơ quan quản lý nhà nước về y tế và cơ sở khám bệnh, chữa bệnh để quản lý người tham gia, kiểm soát số lần khám, tránh trùng lặp dịch vụ và phục vụ thanh toán chi phí khám sức khỏe định kỳ từ quỹ bảo hiểm y tế</w:t>
      </w:r>
      <w:r>
        <w:rPr>
          <w:lang w:val="vi-VN"/>
        </w:rPr>
        <w:t>; tổ chức rà soát, cảnh báo các dữ liệu, chi phí tăng cao, trùng lắp kịp thời theo từng tháng hoặc đột xuất cho cơ sở khám bệnh, chữa bệnh, cơ quan quản lý nhà nước về y tế ở trung ương và địa phương để bảo đảm kịp thời triển khai các biện pháp phù hợp</w:t>
      </w:r>
      <w:r>
        <w:rPr/>
        <w:t>.</w:t>
      </w:r>
    </w:p>
    <w:p>
      <w:pPr>
        <w:pStyle w:val="Normal"/>
        <w:tabs>
          <w:tab w:val="clear" w:pos="720"/>
          <w:tab w:val="left" w:pos="709" w:leader="none"/>
        </w:tabs>
        <w:spacing w:before="120" w:after="120"/>
        <w:jc w:val="both"/>
        <w:rPr>
          <w:bCs/>
          <w:lang w:val="vi-VN"/>
        </w:rPr>
      </w:pPr>
      <w:r>
        <w:rPr/>
        <w:tab/>
      </w:r>
      <w:bookmarkStart w:id="4" w:name="_Hlk238827446"/>
      <w:r>
        <w:rPr>
          <w:bCs/>
          <w:lang w:val="vi-VN"/>
        </w:rPr>
        <w:t>Trong quá trình tổ chức thực hiện có khó khăn vướng mắc, các cơ quan, tổ chức, cá nhân phản ánh về Bộ Y tế để xem xét, giải quyết./.</w:t>
      </w:r>
      <w:bookmarkEnd w:id="4"/>
    </w:p>
    <w:tbl>
      <w:tblPr>
        <w:tblW w:w="9456"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5067"/>
        <w:gridCol w:w="4389"/>
      </w:tblGrid>
      <w:tr>
        <w:trPr>
          <w:trHeight w:val="2907" w:hRule="atLeast"/>
        </w:trPr>
        <w:tc>
          <w:tcPr>
            <w:tcW w:w="5067" w:type="dxa"/>
            <w:tcBorders/>
          </w:tcPr>
          <w:p>
            <w:pPr>
              <w:pStyle w:val="Normal"/>
              <w:rPr>
                <w:b/>
                <w:bCs/>
                <w:i/>
                <w:iCs/>
                <w:lang w:val="vi-VN"/>
              </w:rPr>
            </w:pPr>
            <w:r>
              <w:rPr>
                <w:b/>
                <w:bCs/>
                <w:i/>
                <w:iCs/>
                <w:lang w:val="vi-VN"/>
              </w:rPr>
            </w:r>
          </w:p>
          <w:p>
            <w:pPr>
              <w:pStyle w:val="Normal"/>
              <w:rPr>
                <w:b/>
                <w:bCs/>
                <w:lang w:val="vi-VN"/>
              </w:rPr>
            </w:pPr>
            <w:r>
              <w:rPr>
                <w:b/>
                <w:bCs/>
                <w:i/>
                <w:iCs/>
                <w:lang w:val="vi-VN"/>
              </w:rPr>
              <w:t xml:space="preserve">Nơi nhận: </w:t>
            </w:r>
            <w:r>
              <w:rPr>
                <w:b/>
                <w:bCs/>
                <w:lang w:val="vi-VN"/>
              </w:rPr>
              <w:t xml:space="preserve">    </w:t>
            </w:r>
          </w:p>
          <w:p>
            <w:pPr>
              <w:pStyle w:val="Normal"/>
              <w:rPr>
                <w:rFonts w:ascii="TimesNewRomanPSMT" w:hAnsi="TimesNewRomanPSMT"/>
                <w:color w:val="000000"/>
                <w:sz w:val="22"/>
                <w:szCs w:val="22"/>
              </w:rPr>
            </w:pPr>
            <w:r>
              <w:rPr>
                <w:rFonts w:ascii="TimesNewRomanPSMT" w:hAnsi="TimesNewRomanPSMT"/>
                <w:color w:val="000000"/>
                <w:sz w:val="22"/>
                <w:szCs w:val="22"/>
              </w:rPr>
              <w:t>- Ban Bí thư Trung ương Đảng;</w:t>
            </w:r>
          </w:p>
          <w:p>
            <w:pPr>
              <w:pStyle w:val="Normal"/>
              <w:rPr>
                <w:rFonts w:ascii="TimesNewRomanPSMT" w:hAnsi="TimesNewRomanPSMT"/>
                <w:color w:val="000000"/>
                <w:sz w:val="22"/>
                <w:szCs w:val="22"/>
              </w:rPr>
            </w:pPr>
            <w:r>
              <w:rPr>
                <w:rFonts w:ascii="TimesNewRomanPSMT" w:hAnsi="TimesNewRomanPSMT"/>
                <w:color w:val="000000"/>
                <w:sz w:val="22"/>
                <w:szCs w:val="22"/>
              </w:rPr>
              <w:t>- Thủ tướng, các Phó Thủ tướng Chính phủ;</w:t>
            </w:r>
          </w:p>
          <w:p>
            <w:pPr>
              <w:pStyle w:val="Normal"/>
              <w:rPr>
                <w:rFonts w:ascii="TimesNewRomanPSMT" w:hAnsi="TimesNewRomanPSMT"/>
                <w:color w:val="000000"/>
                <w:sz w:val="22"/>
                <w:szCs w:val="22"/>
              </w:rPr>
            </w:pPr>
            <w:r>
              <w:rPr>
                <w:rFonts w:ascii="TimesNewRomanPSMT" w:hAnsi="TimesNewRomanPSMT"/>
                <w:color w:val="000000"/>
                <w:sz w:val="22"/>
                <w:szCs w:val="22"/>
              </w:rPr>
              <w:t>- Các bộ, cơ quan ngang bộ;</w:t>
            </w:r>
          </w:p>
          <w:p>
            <w:pPr>
              <w:pStyle w:val="Normal"/>
              <w:rPr>
                <w:rFonts w:ascii="TimesNewRomanPSMT" w:hAnsi="TimesNewRomanPSMT"/>
                <w:color w:val="000000"/>
                <w:sz w:val="22"/>
                <w:szCs w:val="22"/>
              </w:rPr>
            </w:pPr>
            <w:r>
              <w:rPr>
                <w:rFonts w:ascii="TimesNewRomanPSMT" w:hAnsi="TimesNewRomanPSMT"/>
                <w:color w:val="000000"/>
                <w:sz w:val="22"/>
                <w:szCs w:val="22"/>
              </w:rPr>
              <w:t>- HĐND, UBND các tỉnh, thành phố trực thuộc Trung ương;</w:t>
            </w:r>
          </w:p>
          <w:p>
            <w:pPr>
              <w:pStyle w:val="Normal"/>
              <w:rPr>
                <w:rFonts w:ascii="TimesNewRomanPSMT" w:hAnsi="TimesNewRomanPSMT"/>
                <w:color w:val="000000"/>
                <w:sz w:val="22"/>
                <w:szCs w:val="22"/>
              </w:rPr>
            </w:pPr>
            <w:r>
              <w:rPr>
                <w:rFonts w:ascii="TimesNewRomanPSMT" w:hAnsi="TimesNewRomanPSMT"/>
                <w:color w:val="000000"/>
                <w:sz w:val="22"/>
                <w:szCs w:val="22"/>
              </w:rPr>
              <w:t>- Văn phòng Trung ương và các Ban của Đảng;</w:t>
            </w:r>
          </w:p>
          <w:p>
            <w:pPr>
              <w:pStyle w:val="Normal"/>
              <w:rPr>
                <w:rFonts w:ascii="TimesNewRomanPSMT" w:hAnsi="TimesNewRomanPSMT"/>
                <w:color w:val="000000"/>
                <w:sz w:val="22"/>
                <w:szCs w:val="22"/>
              </w:rPr>
            </w:pPr>
            <w:r>
              <w:rPr>
                <w:rFonts w:ascii="TimesNewRomanPSMT" w:hAnsi="TimesNewRomanPSMT"/>
                <w:color w:val="000000"/>
                <w:sz w:val="22"/>
                <w:szCs w:val="22"/>
              </w:rPr>
              <w:t>- Văn phòng Tổng Bí thư;</w:t>
            </w:r>
          </w:p>
          <w:p>
            <w:pPr>
              <w:pStyle w:val="Normal"/>
              <w:rPr>
                <w:rFonts w:ascii="TimesNewRomanPSMT" w:hAnsi="TimesNewRomanPSMT"/>
                <w:color w:val="000000"/>
                <w:sz w:val="22"/>
                <w:szCs w:val="22"/>
              </w:rPr>
            </w:pPr>
            <w:r>
              <w:rPr>
                <w:rFonts w:ascii="TimesNewRomanPSMT" w:hAnsi="TimesNewRomanPSMT"/>
                <w:color w:val="000000"/>
                <w:sz w:val="22"/>
                <w:szCs w:val="22"/>
              </w:rPr>
              <w:t>- Văn phòng Chủ tịch nước;</w:t>
            </w:r>
          </w:p>
          <w:p>
            <w:pPr>
              <w:pStyle w:val="Normal"/>
              <w:rPr>
                <w:rFonts w:ascii="TimesNewRomanPSMT" w:hAnsi="TimesNewRomanPSMT"/>
                <w:color w:val="000000"/>
                <w:sz w:val="22"/>
                <w:szCs w:val="22"/>
              </w:rPr>
            </w:pPr>
            <w:r>
              <w:rPr>
                <w:rFonts w:ascii="TimesNewRomanPSMT" w:hAnsi="TimesNewRomanPSMT"/>
                <w:color w:val="000000"/>
                <w:sz w:val="22"/>
                <w:szCs w:val="22"/>
              </w:rPr>
              <w:t>- Hội đồng Dân tộc và các Ủy ban của Quốc hội;</w:t>
            </w:r>
          </w:p>
          <w:p>
            <w:pPr>
              <w:pStyle w:val="Normal"/>
              <w:rPr>
                <w:rFonts w:ascii="TimesNewRomanPSMT" w:hAnsi="TimesNewRomanPSMT"/>
                <w:color w:val="000000"/>
                <w:sz w:val="22"/>
                <w:szCs w:val="22"/>
              </w:rPr>
            </w:pPr>
            <w:r>
              <w:rPr>
                <w:rFonts w:ascii="TimesNewRomanPSMT" w:hAnsi="TimesNewRomanPSMT"/>
                <w:color w:val="000000"/>
                <w:sz w:val="22"/>
                <w:szCs w:val="22"/>
              </w:rPr>
              <w:t>- Văn phòng Quốc hội;</w:t>
            </w:r>
          </w:p>
          <w:p>
            <w:pPr>
              <w:pStyle w:val="Normal"/>
              <w:rPr>
                <w:rFonts w:ascii="TimesNewRomanPSMT" w:hAnsi="TimesNewRomanPSMT"/>
                <w:color w:val="000000"/>
                <w:sz w:val="22"/>
                <w:szCs w:val="22"/>
              </w:rPr>
            </w:pPr>
            <w:r>
              <w:rPr>
                <w:rFonts w:ascii="TimesNewRomanPSMT" w:hAnsi="TimesNewRomanPSMT"/>
                <w:color w:val="000000"/>
                <w:sz w:val="22"/>
                <w:szCs w:val="22"/>
              </w:rPr>
              <w:t>- Tòa án nhân dân tối cao;</w:t>
            </w:r>
          </w:p>
          <w:p>
            <w:pPr>
              <w:pStyle w:val="Normal"/>
              <w:rPr>
                <w:rFonts w:ascii="TimesNewRomanPSMT" w:hAnsi="TimesNewRomanPSMT"/>
                <w:color w:val="000000"/>
                <w:sz w:val="22"/>
                <w:szCs w:val="22"/>
              </w:rPr>
            </w:pPr>
            <w:r>
              <w:rPr>
                <w:rFonts w:ascii="TimesNewRomanPSMT" w:hAnsi="TimesNewRomanPSMT"/>
                <w:color w:val="000000"/>
                <w:sz w:val="22"/>
                <w:szCs w:val="22"/>
              </w:rPr>
              <w:t>- Viện kiểm sát nhân dân tối cao;</w:t>
            </w:r>
          </w:p>
          <w:p>
            <w:pPr>
              <w:pStyle w:val="Normal"/>
              <w:rPr>
                <w:rFonts w:ascii="TimesNewRomanPSMT" w:hAnsi="TimesNewRomanPSMT"/>
                <w:color w:val="000000"/>
                <w:sz w:val="22"/>
                <w:szCs w:val="22"/>
              </w:rPr>
            </w:pPr>
            <w:r>
              <w:rPr>
                <w:rFonts w:ascii="TimesNewRomanPSMT" w:hAnsi="TimesNewRomanPSMT"/>
                <w:color w:val="000000"/>
                <w:sz w:val="22"/>
                <w:szCs w:val="22"/>
              </w:rPr>
              <w:t>- Kiểm toán nhà nước;</w:t>
            </w:r>
          </w:p>
          <w:p>
            <w:pPr>
              <w:pStyle w:val="Normal"/>
              <w:rPr>
                <w:rFonts w:ascii="TimesNewRomanPSMT" w:hAnsi="TimesNewRomanPSMT"/>
                <w:color w:val="000000"/>
                <w:sz w:val="22"/>
                <w:szCs w:val="22"/>
              </w:rPr>
            </w:pPr>
            <w:r>
              <w:rPr>
                <w:rFonts w:ascii="TimesNewRomanPSMT" w:hAnsi="TimesNewRomanPSMT"/>
                <w:color w:val="000000"/>
                <w:sz w:val="22"/>
                <w:szCs w:val="22"/>
              </w:rPr>
              <w:t>- Ngân hàng Chính sách xã hội;</w:t>
            </w:r>
          </w:p>
          <w:p>
            <w:pPr>
              <w:pStyle w:val="Normal"/>
              <w:rPr>
                <w:rFonts w:ascii="TimesNewRomanPSMT" w:hAnsi="TimesNewRomanPSMT"/>
                <w:color w:val="000000"/>
                <w:sz w:val="22"/>
                <w:szCs w:val="22"/>
              </w:rPr>
            </w:pPr>
            <w:r>
              <w:rPr>
                <w:rFonts w:ascii="TimesNewRomanPSMT" w:hAnsi="TimesNewRomanPSMT"/>
                <w:color w:val="000000"/>
                <w:sz w:val="22"/>
                <w:szCs w:val="22"/>
              </w:rPr>
              <w:t>- Ngân hàng Phát triển Việt Nam;</w:t>
            </w:r>
          </w:p>
          <w:p>
            <w:pPr>
              <w:pStyle w:val="Normal"/>
              <w:rPr>
                <w:rFonts w:ascii="TimesNewRomanPSMT" w:hAnsi="TimesNewRomanPSMT"/>
                <w:color w:val="000000"/>
                <w:sz w:val="22"/>
                <w:szCs w:val="22"/>
              </w:rPr>
            </w:pPr>
            <w:r>
              <w:rPr>
                <w:rFonts w:ascii="TimesNewRomanPSMT" w:hAnsi="TimesNewRomanPSMT"/>
                <w:color w:val="000000"/>
                <w:sz w:val="22"/>
                <w:szCs w:val="22"/>
              </w:rPr>
              <w:t>- Ủy ban Trung ương Mặt trận Tổ quốc Việt Nam;</w:t>
            </w:r>
          </w:p>
          <w:p>
            <w:pPr>
              <w:pStyle w:val="Normal"/>
              <w:rPr>
                <w:rFonts w:ascii="TimesNewRomanPSMT" w:hAnsi="TimesNewRomanPSMT"/>
                <w:color w:val="000000"/>
                <w:sz w:val="22"/>
                <w:szCs w:val="22"/>
              </w:rPr>
            </w:pPr>
            <w:r>
              <w:rPr>
                <w:rFonts w:ascii="TimesNewRomanPSMT" w:hAnsi="TimesNewRomanPSMT"/>
                <w:color w:val="000000"/>
                <w:sz w:val="22"/>
                <w:szCs w:val="22"/>
              </w:rPr>
              <w:t>- Cơ quan Trung ương của các tổ chức chính trị - xã hội;</w:t>
            </w:r>
          </w:p>
          <w:p>
            <w:pPr>
              <w:pStyle w:val="Normal"/>
              <w:rPr>
                <w:rFonts w:ascii="TimesNewRomanPSMT" w:hAnsi="TimesNewRomanPSMT"/>
                <w:color w:val="000000"/>
                <w:sz w:val="22"/>
                <w:szCs w:val="22"/>
              </w:rPr>
            </w:pPr>
            <w:r>
              <w:rPr>
                <w:rFonts w:ascii="TimesNewRomanPSMT" w:hAnsi="TimesNewRomanPSMT"/>
                <w:color w:val="000000"/>
                <w:sz w:val="22"/>
                <w:szCs w:val="22"/>
              </w:rPr>
              <w:t>- Bộ trưởng (để báo cáo);</w:t>
            </w:r>
          </w:p>
          <w:p>
            <w:pPr>
              <w:pStyle w:val="Normal"/>
              <w:rPr>
                <w:rFonts w:ascii="TimesNewRomanPSMT" w:hAnsi="TimesNewRomanPSMT"/>
                <w:color w:val="000000"/>
                <w:sz w:val="22"/>
                <w:szCs w:val="22"/>
              </w:rPr>
            </w:pPr>
            <w:r>
              <w:rPr>
                <w:rFonts w:ascii="TimesNewRomanPSMT" w:hAnsi="TimesNewRomanPSMT"/>
                <w:color w:val="000000"/>
                <w:sz w:val="22"/>
                <w:szCs w:val="22"/>
              </w:rPr>
              <w:t>- Các đ/c Thứ trưởng Bộ Y tế (để phối hợp chỉ đạo);</w:t>
            </w:r>
          </w:p>
          <w:p>
            <w:pPr>
              <w:pStyle w:val="Normal"/>
              <w:rPr>
                <w:rFonts w:ascii="TimesNewRomanPSMT" w:hAnsi="TimesNewRomanPSMT"/>
                <w:color w:val="000000"/>
                <w:sz w:val="22"/>
                <w:szCs w:val="22"/>
              </w:rPr>
            </w:pPr>
            <w:r>
              <w:rPr>
                <w:rFonts w:ascii="TimesNewRomanPSMT" w:hAnsi="TimesNewRomanPSMT"/>
                <w:color w:val="000000"/>
                <w:sz w:val="22"/>
                <w:szCs w:val="22"/>
              </w:rPr>
              <w:t>- Các Sở Y tế tỉnh, thành phố trực thuộc Trung ương;</w:t>
            </w:r>
          </w:p>
          <w:p>
            <w:pPr>
              <w:pStyle w:val="Normal"/>
              <w:rPr>
                <w:rFonts w:ascii="TimesNewRomanPSMT" w:hAnsi="TimesNewRomanPSMT"/>
                <w:color w:val="000000"/>
                <w:sz w:val="22"/>
                <w:szCs w:val="22"/>
              </w:rPr>
            </w:pPr>
            <w:r>
              <w:rPr>
                <w:rFonts w:ascii="TimesNewRomanPSMT" w:hAnsi="TimesNewRomanPSMT"/>
                <w:color w:val="000000"/>
                <w:sz w:val="22"/>
                <w:szCs w:val="22"/>
              </w:rPr>
              <w:t>- Công báo; Cổng Thông tin điện tử Chính phủ;</w:t>
            </w:r>
          </w:p>
          <w:p>
            <w:pPr>
              <w:pStyle w:val="Normal"/>
              <w:rPr>
                <w:rFonts w:ascii="TimesNewRomanPSMT" w:hAnsi="TimesNewRomanPSMT"/>
                <w:color w:val="000000"/>
                <w:sz w:val="22"/>
                <w:szCs w:val="22"/>
              </w:rPr>
            </w:pPr>
            <w:r>
              <w:rPr>
                <w:rFonts w:ascii="TimesNewRomanPSMT" w:hAnsi="TimesNewRomanPSMT"/>
                <w:color w:val="000000"/>
                <w:sz w:val="22"/>
                <w:szCs w:val="22"/>
              </w:rPr>
              <w:t>- Các Vụ, Cục, Văn phòng Bộ - Bộ Y tế;</w:t>
            </w:r>
          </w:p>
          <w:p>
            <w:pPr>
              <w:pStyle w:val="Normal"/>
              <w:rPr>
                <w:rFonts w:ascii="TimesNewRomanPSMT" w:hAnsi="TimesNewRomanPSMT"/>
                <w:color w:val="000000"/>
                <w:sz w:val="22"/>
                <w:szCs w:val="22"/>
              </w:rPr>
            </w:pPr>
            <w:r>
              <w:rPr>
                <w:rFonts w:ascii="TimesNewRomanPSMT" w:hAnsi="TimesNewRomanPSMT"/>
                <w:color w:val="000000"/>
                <w:sz w:val="22"/>
                <w:szCs w:val="22"/>
              </w:rPr>
              <w:t>- Cổng Thông tin điện tử Bộ Y tế;</w:t>
            </w:r>
          </w:p>
          <w:p>
            <w:pPr>
              <w:pStyle w:val="Normal"/>
              <w:rPr>
                <w:bCs/>
                <w:sz w:val="22"/>
                <w:szCs w:val="22"/>
                <w:lang w:val="vi-VN"/>
              </w:rPr>
            </w:pPr>
            <w:r>
              <w:rPr>
                <w:rFonts w:ascii="TimesNewRomanPSMT" w:hAnsi="TimesNewRomanPSMT"/>
                <w:color w:val="000000"/>
                <w:sz w:val="22"/>
                <w:szCs w:val="22"/>
              </w:rPr>
              <w:t>- Lưu: VT, BH, PC</w:t>
            </w:r>
            <w:r>
              <w:rPr>
                <w:color w:val="000000"/>
                <w:sz w:val="22"/>
                <w:szCs w:val="22"/>
              </w:rPr>
              <w:t>.</w:t>
            </w:r>
          </w:p>
          <w:p>
            <w:pPr>
              <w:pStyle w:val="Normal"/>
              <w:keepNext w:val="true"/>
              <w:numPr>
                <w:ilvl w:val="0"/>
                <w:numId w:val="0"/>
              </w:numPr>
              <w:snapToGrid w:val="false"/>
              <w:outlineLvl w:val="0"/>
              <w:rPr>
                <w:bCs/>
                <w:lang w:val="es-ES_tradnl"/>
              </w:rPr>
            </w:pPr>
            <w:r>
              <w:rPr>
                <w:bCs/>
                <w:lang w:val="es-ES_tradnl"/>
              </w:rPr>
            </w:r>
          </w:p>
        </w:tc>
        <w:tc>
          <w:tcPr>
            <w:tcW w:w="4389" w:type="dxa"/>
            <w:tcBorders/>
          </w:tcPr>
          <w:p>
            <w:pPr>
              <w:pStyle w:val="Normal"/>
              <w:tabs>
                <w:tab w:val="left" w:pos="720" w:leader="none"/>
                <w:tab w:val="center" w:pos="4320" w:leader="none"/>
                <w:tab w:val="right" w:pos="9180" w:leader="none"/>
              </w:tabs>
              <w:jc w:val="center"/>
              <w:rPr>
                <w:b/>
                <w:lang w:val="es-ES_tradnl"/>
              </w:rPr>
            </w:pPr>
            <w:r>
              <w:rPr>
                <w:b/>
                <w:lang w:val="es-ES_tradnl"/>
              </w:rPr>
            </w:r>
          </w:p>
          <w:p>
            <w:pPr>
              <w:pStyle w:val="Normal"/>
              <w:tabs>
                <w:tab w:val="left" w:pos="720" w:leader="none"/>
                <w:tab w:val="center" w:pos="4320" w:leader="none"/>
                <w:tab w:val="right" w:pos="9180" w:leader="none"/>
              </w:tabs>
              <w:jc w:val="center"/>
              <w:rPr>
                <w:b/>
                <w:lang w:val="es-ES_tradnl"/>
              </w:rPr>
            </w:pPr>
            <w:r>
              <w:rPr>
                <w:b/>
                <w:lang w:val="es-ES_tradnl"/>
              </w:rPr>
              <w:t>BỘ TRƯỞNG</w:t>
            </w:r>
          </w:p>
          <w:p>
            <w:pPr>
              <w:pStyle w:val="Normal"/>
              <w:tabs>
                <w:tab w:val="left" w:pos="720" w:leader="none"/>
                <w:tab w:val="center" w:pos="4320" w:leader="none"/>
                <w:tab w:val="right" w:pos="9180" w:leader="none"/>
              </w:tabs>
              <w:jc w:val="center"/>
              <w:rPr>
                <w:b/>
                <w:lang w:val="es-ES_tradnl"/>
              </w:rPr>
            </w:pPr>
            <w:r>
              <w:rPr>
                <w:b/>
                <w:lang w:val="es-ES_tradnl"/>
              </w:rPr>
            </w:r>
          </w:p>
          <w:p>
            <w:pPr>
              <w:pStyle w:val="Normal"/>
              <w:tabs>
                <w:tab w:val="left" w:pos="720" w:leader="none"/>
                <w:tab w:val="center" w:pos="4320" w:leader="none"/>
                <w:tab w:val="right" w:pos="9180" w:leader="none"/>
              </w:tabs>
              <w:jc w:val="center"/>
              <w:rPr>
                <w:iCs/>
                <w:lang w:val="es-ES_tradnl"/>
              </w:rPr>
            </w:pPr>
            <w:r>
              <w:rPr>
                <w:i/>
                <w:lang w:val="es-ES_tradnl"/>
              </w:rPr>
              <w:t xml:space="preserve">  </w:t>
            </w:r>
          </w:p>
          <w:p>
            <w:pPr>
              <w:pStyle w:val="Normal"/>
              <w:tabs>
                <w:tab w:val="left" w:pos="720" w:leader="none"/>
                <w:tab w:val="center" w:pos="4320" w:leader="none"/>
                <w:tab w:val="right" w:pos="9180" w:leader="none"/>
              </w:tabs>
              <w:jc w:val="center"/>
              <w:rPr>
                <w:iCs/>
                <w:lang w:val="es-ES_tradnl"/>
              </w:rPr>
            </w:pPr>
            <w:r>
              <w:rPr>
                <w:iCs/>
                <w:lang w:val="es-ES_tradnl"/>
              </w:rPr>
            </w:r>
          </w:p>
          <w:p>
            <w:pPr>
              <w:pStyle w:val="Normal"/>
              <w:tabs>
                <w:tab w:val="left" w:pos="720" w:leader="none"/>
                <w:tab w:val="center" w:pos="4320" w:leader="none"/>
                <w:tab w:val="right" w:pos="9180" w:leader="none"/>
              </w:tabs>
              <w:jc w:val="center"/>
              <w:rPr>
                <w:iCs/>
                <w:lang w:val="es-ES_tradnl"/>
              </w:rPr>
            </w:pPr>
            <w:r>
              <w:rPr>
                <w:iCs/>
                <w:lang w:val="es-ES_tradnl"/>
              </w:rPr>
            </w:r>
          </w:p>
          <w:p>
            <w:pPr>
              <w:pStyle w:val="Normal"/>
              <w:tabs>
                <w:tab w:val="left" w:pos="720" w:leader="none"/>
                <w:tab w:val="center" w:pos="4320" w:leader="none"/>
                <w:tab w:val="right" w:pos="9180" w:leader="none"/>
              </w:tabs>
              <w:jc w:val="center"/>
              <w:rPr>
                <w:iCs/>
                <w:lang w:val="es-ES_tradnl"/>
              </w:rPr>
            </w:pPr>
            <w:r>
              <w:rPr>
                <w:iCs/>
                <w:lang w:val="es-ES_tradnl"/>
              </w:rPr>
            </w:r>
          </w:p>
          <w:p>
            <w:pPr>
              <w:pStyle w:val="Normal"/>
              <w:tabs>
                <w:tab w:val="left" w:pos="720" w:leader="none"/>
                <w:tab w:val="center" w:pos="4320" w:leader="none"/>
                <w:tab w:val="right" w:pos="9180" w:leader="none"/>
              </w:tabs>
              <w:jc w:val="center"/>
              <w:rPr>
                <w:iCs/>
                <w:lang w:val="es-ES_tradnl"/>
              </w:rPr>
            </w:pPr>
            <w:r>
              <w:rPr>
                <w:iCs/>
                <w:lang w:val="es-ES_tradnl"/>
              </w:rPr>
            </w:r>
          </w:p>
          <w:p>
            <w:pPr>
              <w:pStyle w:val="Normal"/>
              <w:tabs>
                <w:tab w:val="left" w:pos="720" w:leader="none"/>
                <w:tab w:val="center" w:pos="4320" w:leader="none"/>
                <w:tab w:val="right" w:pos="9180" w:leader="none"/>
              </w:tabs>
              <w:jc w:val="center"/>
              <w:rPr>
                <w:iCs/>
                <w:lang w:val="es-ES_tradnl"/>
              </w:rPr>
            </w:pPr>
            <w:r>
              <w:rPr>
                <w:iCs/>
                <w:lang w:val="es-ES_tradnl"/>
              </w:rPr>
            </w:r>
          </w:p>
          <w:p>
            <w:pPr>
              <w:pStyle w:val="Normal"/>
              <w:tabs>
                <w:tab w:val="left" w:pos="720" w:leader="none"/>
                <w:tab w:val="center" w:pos="4320" w:leader="none"/>
                <w:tab w:val="right" w:pos="9180" w:leader="none"/>
              </w:tabs>
              <w:jc w:val="center"/>
              <w:rPr>
                <w:iCs/>
                <w:lang w:val="es-ES_tradnl"/>
              </w:rPr>
            </w:pPr>
            <w:r>
              <w:rPr>
                <w:iCs/>
                <w:lang w:val="es-ES_tradnl"/>
              </w:rPr>
            </w:r>
          </w:p>
          <w:p>
            <w:pPr>
              <w:pStyle w:val="Normal"/>
              <w:tabs>
                <w:tab w:val="left" w:pos="720" w:leader="none"/>
                <w:tab w:val="center" w:pos="4320" w:leader="none"/>
                <w:tab w:val="right" w:pos="9180" w:leader="none"/>
              </w:tabs>
              <w:jc w:val="center"/>
              <w:rPr>
                <w:b/>
                <w:iCs/>
                <w:lang w:val="es-ES_tradnl"/>
              </w:rPr>
            </w:pPr>
            <w:r>
              <w:rPr>
                <w:b/>
                <w:iCs/>
                <w:lang w:val="es-ES_tradnl"/>
              </w:rPr>
              <w:t>Đào Hồng Lan</w:t>
            </w:r>
          </w:p>
          <w:p>
            <w:pPr>
              <w:pStyle w:val="Normal"/>
              <w:tabs>
                <w:tab w:val="left" w:pos="720" w:leader="none"/>
                <w:tab w:val="center" w:pos="4320" w:leader="none"/>
                <w:tab w:val="right" w:pos="9180" w:leader="none"/>
              </w:tabs>
              <w:jc w:val="center"/>
              <w:rPr>
                <w:iCs/>
                <w:lang w:val="es-ES_tradnl"/>
              </w:rPr>
            </w:pPr>
            <w:r>
              <w:rPr>
                <w:iCs/>
                <w:lang w:val="es-ES_tradnl"/>
              </w:rPr>
            </w:r>
          </w:p>
          <w:p>
            <w:pPr>
              <w:pStyle w:val="Heading3"/>
              <w:tabs>
                <w:tab w:val="left" w:pos="720" w:leader="none"/>
                <w:tab w:val="center" w:pos="4320" w:leader="none"/>
                <w:tab w:val="right" w:pos="9180" w:leader="none"/>
              </w:tabs>
              <w:rPr>
                <w:rFonts w:ascii="Times New Roman" w:hAnsi="Times New Roman"/>
                <w:bCs w:val="false"/>
                <w:iCs/>
                <w:lang w:val="es-ES_tradnl"/>
              </w:rPr>
            </w:pPr>
            <w:r>
              <w:rPr>
                <w:rFonts w:ascii="Times New Roman" w:hAnsi="Times New Roman"/>
                <w:bCs w:val="false"/>
                <w:iCs/>
                <w:lang w:val="es-ES_tradnl"/>
              </w:rPr>
            </w:r>
          </w:p>
        </w:tc>
      </w:tr>
    </w:tbl>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r>
        <w:br w:type="page"/>
      </w:r>
    </w:p>
    <w:p>
      <w:pPr>
        <w:pStyle w:val="Normal"/>
        <w:spacing w:before="0" w:after="0"/>
        <w:jc w:val="center"/>
        <w:rPr>
          <w:color w:themeColor="text1" w:val="000000"/>
        </w:rPr>
      </w:pPr>
      <w:r>
        <w:rPr>
          <w:b/>
          <w:bCs/>
          <w:color w:themeColor="text1" w:val="000000"/>
        </w:rPr>
        <w:t>PHỤ LỤC 1</w:t>
      </w:r>
    </w:p>
    <w:p>
      <w:pPr>
        <w:pStyle w:val="Normal"/>
        <w:jc w:val="center"/>
        <w:rPr>
          <w:color w:themeColor="text1" w:val="000000"/>
          <w:sz w:val="24"/>
          <w:szCs w:val="24"/>
        </w:rPr>
      </w:pPr>
      <w:r>
        <w:rPr>
          <w:color w:themeColor="text1" w:val="000000"/>
          <w:sz w:val="24"/>
          <w:szCs w:val="24"/>
        </w:rPr>
        <w:t xml:space="preserve">DỊCH VỤ KỸ THUẬT Y TẾ KHÁM SỨC KHOẺ ĐỊNH KỲ </w:t>
      </w:r>
    </w:p>
    <w:p>
      <w:pPr>
        <w:pStyle w:val="Normal"/>
        <w:jc w:val="center"/>
        <w:rPr>
          <w:color w:themeColor="text1" w:val="000000"/>
          <w:sz w:val="24"/>
          <w:szCs w:val="24"/>
        </w:rPr>
      </w:pPr>
      <w:r>
        <w:rPr>
          <w:color w:themeColor="text1" w:val="000000"/>
          <w:sz w:val="24"/>
          <w:szCs w:val="24"/>
        </w:rPr>
        <w:t>DO QUỸ BẢO HIỂM Y TẾ CHI TRẢ ĐỐI VỚI NGƯỜI TRÊN 18 TUỔI</w:t>
      </w:r>
    </w:p>
    <w:p>
      <w:pPr>
        <w:pStyle w:val="Normal"/>
        <w:jc w:val="center"/>
        <w:rPr>
          <w:color w:themeColor="text1" w:val="000000"/>
          <w:sz w:val="26"/>
          <w:szCs w:val="26"/>
        </w:rPr>
      </w:pPr>
      <w:r>
        <w:rPr>
          <w:i/>
          <w:iCs/>
          <w:color w:themeColor="text1" w:val="000000"/>
        </w:rPr>
        <w:t>(Ban hành kèm theo Thông tư số     /2026/TT-BYT ngày      tháng    năm 2026 của Bộ trưởng Bộ Y tế)</w:t>
      </w:r>
    </w:p>
    <w:p>
      <w:pPr>
        <w:pStyle w:val="Normal"/>
        <w:rPr>
          <w:b/>
          <w:bCs/>
          <w:color w:themeColor="text1" w:val="000000"/>
        </w:rPr>
      </w:pPr>
      <w:r>
        <w:rPr>
          <w:b/>
          <w:bCs/>
          <w:color w:themeColor="text1" w:val="000000"/>
        </w:rPr>
      </w:r>
    </w:p>
    <w:tbl>
      <w:tblPr>
        <w:tblStyle w:val="TableGrid"/>
        <w:tblW w:w="9064"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936"/>
        <w:gridCol w:w="2072"/>
        <w:gridCol w:w="1814"/>
        <w:gridCol w:w="2308"/>
        <w:gridCol w:w="1934"/>
      </w:tblGrid>
      <w:tr>
        <w:trPr/>
        <w:tc>
          <w:tcPr>
            <w:tcW w:w="936"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STT</w:t>
            </w:r>
          </w:p>
        </w:tc>
        <w:tc>
          <w:tcPr>
            <w:tcW w:w="2072"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Tên dịch vụ</w:t>
            </w:r>
          </w:p>
        </w:tc>
        <w:tc>
          <w:tcPr>
            <w:tcW w:w="1814"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Số lần tối đa</w:t>
            </w:r>
          </w:p>
        </w:tc>
        <w:tc>
          <w:tcPr>
            <w:tcW w:w="2308"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Mức thanh toán</w:t>
            </w:r>
          </w:p>
        </w:tc>
        <w:tc>
          <w:tcPr>
            <w:tcW w:w="1934"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 xml:space="preserve">Ghi chú </w:t>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t>Khám</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105.200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t>Xét nghiệm công thức máu</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51.700</w:t>
            </w:r>
          </w:p>
        </w:tc>
        <w:tc>
          <w:tcPr>
            <w:tcW w:w="1934" w:type="dxa"/>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color w:themeColor="text1" w:val="000000"/>
              </w:rPr>
            </w:pPr>
            <w:r>
              <w:rPr>
                <w:rFonts w:eastAsia="Times New Roman" w:cs="Times New Roman"/>
                <w:kern w:val="0"/>
                <w:lang w:val="en-US" w:eastAsia="en-US" w:bidi="ar-SA"/>
              </w:rPr>
              <w:t>Đường máu</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23.300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color w:themeColor="text1" w:val="000000"/>
              </w:rPr>
            </w:pPr>
            <w:r>
              <w:rPr>
                <w:rFonts w:eastAsia="Times New Roman" w:cs="Times New Roman"/>
                <w:kern w:val="0"/>
                <w:lang w:val="en-US" w:eastAsia="en-US" w:bidi="ar-SA"/>
              </w:rPr>
              <w:t>Creatinin</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23.300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Định lượng Tryglyceride</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29.100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Cholesterol toàn phần</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29.100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HDL-Cholesterol</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29.100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color w:themeColor="text1" w:val="000000"/>
              </w:rPr>
            </w:pPr>
            <w:r>
              <w:rPr>
                <w:rFonts w:eastAsia="Times New Roman" w:cs="Times New Roman"/>
                <w:kern w:val="0"/>
                <w:lang w:val="en-US" w:eastAsia="en-US" w:bidi="ar-SA"/>
              </w:rPr>
              <w:t>ASAT (GOT)</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vi-VN" w:eastAsia="en-US" w:bidi="ar-SA"/>
              </w:rPr>
              <w:t xml:space="preserve"> </w:t>
            </w: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23.300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ALAT (GPT)</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23.300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Tổng phân tích nước tiểu</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29.700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Siêu âm ổ bụng</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61.000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Theo</w:t>
            </w:r>
            <w:r>
              <w:rPr>
                <w:rFonts w:eastAsia="Times New Roman" w:cs="Times New Roman"/>
                <w:color w:themeColor="text1" w:val="000000"/>
                <w:kern w:val="0"/>
                <w:lang w:val="vi-VN" w:eastAsia="en-US" w:bidi="ar-SA"/>
              </w:rPr>
              <w:t xml:space="preserve"> hướng dẫn chuyên môn, tình trạng thực tế của người được khám.</w:t>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Chẩn đoán hình ảnh</w:t>
            </w:r>
          </w:p>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(X.quang ngực thẳng)</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59.800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Theo</w:t>
            </w:r>
            <w:r>
              <w:rPr>
                <w:rFonts w:eastAsia="Times New Roman" w:cs="Times New Roman"/>
                <w:color w:themeColor="text1" w:val="000000"/>
                <w:kern w:val="0"/>
                <w:lang w:val="vi-VN" w:eastAsia="en-US" w:bidi="ar-SA"/>
              </w:rPr>
              <w:t xml:space="preserve"> hướng dẫn chuyên môn, tình trạng thực tế của người được khám.</w:t>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Acid Uric</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23.300</w:t>
            </w:r>
          </w:p>
        </w:tc>
        <w:tc>
          <w:tcPr>
            <w:tcW w:w="1934" w:type="dxa"/>
            <w:tcBorders/>
          </w:tcPr>
          <w:p>
            <w:pPr>
              <w:pStyle w:val="Normal"/>
              <w:widowControl/>
              <w:spacing w:before="0" w:after="0"/>
              <w:jc w:val="both"/>
              <w:rPr>
                <w:color w:themeColor="text1" w:val="000000"/>
              </w:rPr>
            </w:pPr>
            <w:r>
              <w:rPr>
                <w:rFonts w:eastAsia="Times New Roman" w:cs="Times New Roman"/>
                <w:kern w:val="0"/>
                <w:lang w:val="en-US" w:eastAsia="en-US" w:bidi="ar-SA"/>
              </w:rPr>
              <w:t>Nam giới trung niên, phụ nữ sau mãn kinh, người béo phì, hoặc có sử</w:t>
            </w:r>
            <w:r>
              <w:rPr>
                <w:rFonts w:eastAsia="Times New Roman" w:cs="Times New Roman"/>
                <w:kern w:val="0"/>
                <w:lang w:val="vi-VN" w:eastAsia="en-US" w:bidi="ar-SA"/>
              </w:rPr>
              <w:t xml:space="preserve"> dụng </w:t>
            </w:r>
            <w:r>
              <w:rPr>
                <w:rFonts w:eastAsia="Times New Roman" w:cs="Times New Roman"/>
                <w:kern w:val="0"/>
                <w:lang w:val="en-US" w:eastAsia="en-US" w:bidi="ar-SA"/>
              </w:rPr>
              <w:t>rượu bia</w:t>
            </w:r>
            <w:r>
              <w:rPr>
                <w:rFonts w:eastAsia="Times New Roman" w:cs="Times New Roman"/>
                <w:kern w:val="0"/>
                <w:lang w:val="vi-VN" w:eastAsia="en-US" w:bidi="ar-SA"/>
              </w:rPr>
              <w:t xml:space="preserve"> thường xuyên, sử dụng </w:t>
            </w:r>
            <w:r>
              <w:rPr>
                <w:rFonts w:eastAsia="Times New Roman" w:cs="Times New Roman"/>
                <w:kern w:val="0"/>
                <w:lang w:val="en-US" w:eastAsia="en-US" w:bidi="ar-SA"/>
              </w:rPr>
              <w:t>thực phẩm giàu đạm</w:t>
            </w:r>
          </w:p>
        </w:tc>
      </w:tr>
      <w:tr>
        <w:trPr/>
        <w:tc>
          <w:tcPr>
            <w:tcW w:w="936" w:type="dxa"/>
            <w:tcBorders/>
          </w:tcPr>
          <w:p>
            <w:pPr>
              <w:pStyle w:val="ListParagraph"/>
              <w:widowControl/>
              <w:numPr>
                <w:ilvl w:val="0"/>
                <w:numId w:val="1"/>
              </w:numPr>
              <w:spacing w:before="0" w:after="160"/>
              <w:contextualSpacing/>
              <w:jc w:val="left"/>
              <w:rPr>
                <w:color w:themeColor="text1" w:val="000000"/>
                <w:sz w:val="24"/>
                <w:szCs w:val="24"/>
              </w:rPr>
            </w:pPr>
            <w:r>
              <w:rPr>
                <w:color w:themeColor="text1" w:val="000000"/>
                <w:kern w:val="0"/>
                <w:sz w:val="24"/>
                <w:szCs w:val="24"/>
                <w:lang w:val="en-US" w:eastAsia="en-US" w:bidi="ar-SA"/>
              </w:rPr>
            </w:r>
          </w:p>
        </w:tc>
        <w:tc>
          <w:tcPr>
            <w:tcW w:w="2072"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Cập nhật, quản lý sổ sức khoẻ điện tử, quản lý sức khoẻ người dân</w:t>
            </w:r>
          </w:p>
        </w:tc>
        <w:tc>
          <w:tcPr>
            <w:tcW w:w="1814"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308"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 vụ được cấp có thẩm quyền phê</w:t>
            </w:r>
            <w:r>
              <w:rPr>
                <w:rFonts w:eastAsia="Times New Roman" w:cs="Times New Roman"/>
                <w:color w:themeColor="text1" w:val="000000"/>
                <w:kern w:val="0"/>
                <w:lang w:val="vi-VN" w:eastAsia="en-US" w:bidi="ar-SA"/>
              </w:rPr>
              <w:t>; hướng dẫn nội dung, định mức được cấp có thẩm quyền ban hành hoặc quy định.</w:t>
            </w:r>
          </w:p>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Mức thanh toán tối đa 10.000.</w:t>
            </w:r>
          </w:p>
        </w:tc>
        <w:tc>
          <w:tcPr>
            <w:tcW w:w="1934"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Sổ Sức khoẻ điện tử của từng người khám được cập nhật, liên thông dữ liệu, tra cứu, quản lý thông tin sức khoẻ.</w:t>
            </w:r>
          </w:p>
          <w:p>
            <w:pPr>
              <w:pStyle w:val="Normal"/>
              <w:widowControl/>
              <w:spacing w:before="0" w:after="0"/>
              <w:jc w:val="both"/>
              <w:rPr>
                <w:color w:themeColor="text1" w:val="000000"/>
                <w:lang w:val="vi-VN"/>
              </w:rPr>
            </w:pPr>
            <w:r>
              <w:rPr>
                <w:rFonts w:eastAsia="Times New Roman" w:cs="Times New Roman"/>
                <w:color w:themeColor="text1" w:val="000000"/>
                <w:kern w:val="0"/>
                <w:lang w:val="en-US" w:eastAsia="en-US" w:bidi="ar-SA"/>
              </w:rPr>
              <w:t>Cơ</w:t>
            </w:r>
            <w:r>
              <w:rPr>
                <w:rFonts w:eastAsia="Times New Roman" w:cs="Times New Roman"/>
                <w:color w:themeColor="text1" w:val="000000"/>
                <w:kern w:val="0"/>
                <w:lang w:val="vi-VN" w:eastAsia="en-US" w:bidi="ar-SA"/>
              </w:rPr>
              <w:t xml:space="preserve"> sở khám bệnh, chữa bệnh ban hành quy trình thực hiện.</w:t>
            </w:r>
          </w:p>
        </w:tc>
      </w:tr>
      <w:tr>
        <w:trPr/>
        <w:tc>
          <w:tcPr>
            <w:tcW w:w="936" w:type="dxa"/>
            <w:tcBorders/>
          </w:tcPr>
          <w:p>
            <w:pPr>
              <w:pStyle w:val="Normal"/>
              <w:widowControl/>
              <w:spacing w:before="0" w:after="0"/>
              <w:jc w:val="left"/>
              <w:rPr>
                <w:b/>
                <w:bCs/>
                <w:color w:themeColor="text1" w:val="000000"/>
                <w:sz w:val="24"/>
                <w:szCs w:val="24"/>
              </w:rPr>
            </w:pPr>
            <w:r>
              <w:rPr>
                <w:rFonts w:eastAsia="Times New Roman" w:cs="Times New Roman"/>
                <w:b/>
                <w:bCs/>
                <w:color w:themeColor="text1" w:val="000000"/>
                <w:kern w:val="0"/>
                <w:sz w:val="24"/>
                <w:szCs w:val="24"/>
                <w:lang w:val="en-US" w:eastAsia="en-US" w:bidi="ar-SA"/>
              </w:rPr>
            </w:r>
          </w:p>
        </w:tc>
        <w:tc>
          <w:tcPr>
            <w:tcW w:w="2072" w:type="dxa"/>
            <w:tcBorders/>
          </w:tcPr>
          <w:p>
            <w:pPr>
              <w:pStyle w:val="Normal"/>
              <w:widowControl/>
              <w:spacing w:before="0" w:after="0"/>
              <w:jc w:val="center"/>
              <w:rPr>
                <w:b/>
                <w:bCs/>
              </w:rPr>
            </w:pPr>
            <w:r>
              <w:rPr>
                <w:rFonts w:eastAsia="Times New Roman" w:cs="Times New Roman"/>
                <w:b/>
                <w:bCs/>
                <w:kern w:val="0"/>
                <w:lang w:val="en-US" w:eastAsia="en-US" w:bidi="ar-SA"/>
              </w:rPr>
              <w:t>Tổng tối đa không quá</w:t>
            </w:r>
          </w:p>
        </w:tc>
        <w:tc>
          <w:tcPr>
            <w:tcW w:w="1814"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c>
          <w:tcPr>
            <w:tcW w:w="2308"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350.000</w:t>
            </w:r>
          </w:p>
        </w:tc>
        <w:tc>
          <w:tcPr>
            <w:tcW w:w="1934"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r>
    </w:tbl>
    <w:p>
      <w:pPr>
        <w:pStyle w:val="Normal"/>
        <w:rPr>
          <w:b/>
          <w:bCs/>
          <w:color w:themeColor="text1" w:val="000000"/>
        </w:rPr>
      </w:pPr>
      <w:r>
        <w:rPr>
          <w:b/>
          <w:bCs/>
          <w:color w:themeColor="text1" w:val="000000"/>
        </w:rPr>
      </w:r>
    </w:p>
    <w:p>
      <w:pPr>
        <w:pStyle w:val="Normal"/>
        <w:rPr>
          <w:lang w:val="pt-BR"/>
        </w:rPr>
      </w:pPr>
      <w:r>
        <w:rPr>
          <w:lang w:val="pt-BR"/>
        </w:rPr>
      </w:r>
    </w:p>
    <w:p>
      <w:pPr>
        <w:pStyle w:val="Normal"/>
        <w:jc w:val="both"/>
        <w:rPr>
          <w:i/>
          <w:iCs/>
          <w:color w:themeColor="text1" w:val="000000"/>
        </w:rPr>
      </w:pPr>
      <w:bookmarkStart w:id="5" w:name="_ftnref13"/>
      <w:bookmarkStart w:id="6" w:name="_ftnref12"/>
      <w:bookmarkStart w:id="7" w:name="_ftnref11"/>
      <w:bookmarkStart w:id="8" w:name="_ftnref10"/>
      <w:bookmarkStart w:id="9" w:name="_ftnref9"/>
      <w:bookmarkStart w:id="10" w:name="_ftnref8"/>
      <w:bookmarkStart w:id="11" w:name="_ftnref7"/>
      <w:bookmarkEnd w:id="3"/>
      <w:bookmarkEnd w:id="5"/>
      <w:bookmarkEnd w:id="6"/>
      <w:bookmarkEnd w:id="7"/>
      <w:bookmarkEnd w:id="8"/>
      <w:bookmarkEnd w:id="9"/>
      <w:bookmarkEnd w:id="10"/>
      <w:bookmarkEnd w:id="11"/>
      <w:r>
        <w:rPr>
          <w:i/>
          <w:iCs/>
          <w:color w:themeColor="text1" w:val="000000"/>
        </w:rPr>
        <w:t xml:space="preserve">Ghi chú: </w:t>
      </w:r>
    </w:p>
    <w:p>
      <w:pPr>
        <w:pStyle w:val="Normal"/>
        <w:jc w:val="both"/>
        <w:rPr>
          <w:i/>
          <w:iCs/>
          <w:color w:themeColor="text1" w:val="000000"/>
          <w:lang w:val="vi-VN"/>
        </w:rPr>
      </w:pPr>
      <w:r>
        <w:rPr>
          <w:i/>
          <w:iCs/>
          <w:color w:themeColor="text1" w:val="000000"/>
          <w:lang w:val="vi-VN"/>
        </w:rPr>
        <w:t>- Các dịch vụ tại phụ lục này là số lượng tối đa, bác sỹ khám quyết định chỉ định dịch vụ cụ thể theo hướng dẫn chuyên môn, tình trạng thực tế của người được khám.</w:t>
      </w:r>
    </w:p>
    <w:p>
      <w:pPr>
        <w:pStyle w:val="Normal"/>
        <w:jc w:val="both"/>
        <w:rPr>
          <w:i/>
          <w:iCs/>
        </w:rPr>
      </w:pPr>
      <w:r>
        <w:rPr>
          <w:i/>
          <w:iCs/>
          <w:color w:themeColor="text1" w:val="000000"/>
          <w:lang w:val="vi-VN"/>
        </w:rPr>
        <w:t xml:space="preserve">- </w:t>
      </w:r>
      <w:r>
        <w:rPr>
          <w:i/>
          <w:iCs/>
          <w:color w:themeColor="text1" w:val="000000"/>
        </w:rPr>
        <w:t>Các dịch</w:t>
      </w:r>
      <w:r>
        <w:rPr>
          <w:i/>
          <w:iCs/>
          <w:color w:themeColor="text1" w:val="000000"/>
          <w:lang w:val="vi-VN"/>
        </w:rPr>
        <w:t xml:space="preserve"> vụ cận lâm sàng mà </w:t>
      </w:r>
      <w:r>
        <w:rPr>
          <w:i/>
          <w:iCs/>
          <w:color w:themeColor="text1" w:val="000000"/>
        </w:rPr>
        <w:t>người dân đã được làm</w:t>
      </w:r>
      <w:r>
        <w:rPr>
          <w:i/>
          <w:iCs/>
        </w:rPr>
        <w:t xml:space="preserve"> trong khoảng thời gian không quá 3 tháng trước thời điểm khám mà</w:t>
      </w:r>
      <w:r>
        <w:rPr>
          <w:i/>
          <w:iCs/>
          <w:color w:themeColor="text1" w:val="000000"/>
        </w:rPr>
        <w:t xml:space="preserve"> kết quả được tích hợp và tra cứu trên </w:t>
      </w:r>
      <w:r>
        <w:rPr>
          <w:i/>
          <w:iCs/>
        </w:rPr>
        <w:t xml:space="preserve">Cổng </w:t>
      </w:r>
      <w:r>
        <w:rPr>
          <w:i/>
          <w:iCs/>
          <w:lang w:val="vi-VN"/>
        </w:rPr>
        <w:t xml:space="preserve">tiếp nhận dữ liệu </w:t>
      </w:r>
      <w:r>
        <w:rPr>
          <w:i/>
          <w:iCs/>
        </w:rPr>
        <w:t>của Bảo hiểm xã hội</w:t>
      </w:r>
      <w:r>
        <w:rPr>
          <w:i/>
          <w:iCs/>
          <w:lang w:val="vi-VN"/>
        </w:rPr>
        <w:t xml:space="preserve"> Việt Nam</w:t>
      </w:r>
      <w:r>
        <w:rPr>
          <w:i/>
          <w:iCs/>
        </w:rPr>
        <w:t xml:space="preserve"> thì theo yêu cầu chuyên môn bác sỹ thực hiện khám sức khỏe định kỳ xem xét việc có chỉ định thực hiện dịch vụ kỹ thuật hay sử dụng kết quả lần khám, chữa bệnh trước đó.</w:t>
      </w:r>
    </w:p>
    <w:p>
      <w:pPr>
        <w:pStyle w:val="Normal"/>
        <w:jc w:val="both"/>
        <w:rPr>
          <w:i/>
          <w:iCs/>
          <w:lang w:val="vi-VN"/>
        </w:rPr>
      </w:pPr>
      <w:r>
        <w:rPr>
          <w:i/>
          <w:iCs/>
          <w:lang w:val="vi-VN"/>
        </w:rPr>
        <w:t xml:space="preserve">- Người đang được khám, cấp thuốc điều trị ngoại trú bảo hiểm y tế định kỳ theo quy định, </w:t>
      </w:r>
      <w:r>
        <w:rPr>
          <w:i/>
          <w:iCs/>
        </w:rPr>
        <w:t>bác sỹ khám sức khỏe định kỳ xem xét việc chỉ định thực hiện dịch vụ kỹ thuật trên</w:t>
      </w:r>
      <w:r>
        <w:rPr>
          <w:i/>
          <w:iCs/>
          <w:lang w:val="vi-VN"/>
        </w:rPr>
        <w:t xml:space="preserve"> cơ sở </w:t>
      </w:r>
      <w:r>
        <w:rPr>
          <w:i/>
          <w:iCs/>
        </w:rPr>
        <w:t>sử dụng tối</w:t>
      </w:r>
      <w:r>
        <w:rPr>
          <w:i/>
          <w:iCs/>
          <w:lang w:val="vi-VN"/>
        </w:rPr>
        <w:t xml:space="preserve"> đa phù hợp yêu cầu chuyên môn </w:t>
      </w:r>
      <w:r>
        <w:rPr>
          <w:i/>
          <w:iCs/>
        </w:rPr>
        <w:t>kết quả</w:t>
      </w:r>
      <w:r>
        <w:rPr>
          <w:i/>
          <w:iCs/>
          <w:lang w:val="vi-VN"/>
        </w:rPr>
        <w:t xml:space="preserve"> các </w:t>
      </w:r>
      <w:r>
        <w:rPr>
          <w:i/>
          <w:iCs/>
        </w:rPr>
        <w:t>lần khám, chữa bệnh trước đó.</w:t>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p>
    <w:p>
      <w:pPr>
        <w:pStyle w:val="Normal"/>
        <w:rPr>
          <w:b/>
          <w:bCs/>
          <w:color w:themeColor="text1" w:val="000000"/>
        </w:rPr>
      </w:pPr>
      <w:r>
        <w:rPr>
          <w:b/>
          <w:bCs/>
          <w:color w:themeColor="text1" w:val="000000"/>
        </w:rPr>
      </w:r>
      <w:r>
        <w:br w:type="page"/>
      </w:r>
    </w:p>
    <w:p>
      <w:pPr>
        <w:pStyle w:val="Normal"/>
        <w:spacing w:before="0" w:after="0"/>
        <w:jc w:val="center"/>
        <w:rPr>
          <w:color w:themeColor="text1" w:val="000000"/>
        </w:rPr>
      </w:pPr>
      <w:r>
        <w:rPr>
          <w:b/>
          <w:bCs/>
          <w:color w:themeColor="text1" w:val="000000"/>
        </w:rPr>
        <w:t>PHỤ LỤC 2</w:t>
      </w:r>
    </w:p>
    <w:p>
      <w:pPr>
        <w:pStyle w:val="Normal"/>
        <w:rPr>
          <w:color w:themeColor="text1" w:val="000000"/>
          <w:sz w:val="24"/>
          <w:szCs w:val="24"/>
          <w:lang w:val="vi-VN"/>
        </w:rPr>
      </w:pPr>
      <w:r>
        <w:rPr>
          <w:color w:themeColor="text1" w:val="000000"/>
          <w:sz w:val="24"/>
          <w:szCs w:val="24"/>
        </w:rPr>
        <w:t>DỊCH VỤ KỸ THUẬT Y TẾ KHÁM SỨC KHOẺ ĐỊNH KỲ, KIỂM TRA SỨC KHỎE ĐẦU NĂM HỌC DO QUỸ BẢO HIỂM Y TẾ CHI TRẢ ĐỐI VỚI NGƯỜI TỪ 6-18 TUỔI</w:t>
      </w:r>
    </w:p>
    <w:p>
      <w:pPr>
        <w:pStyle w:val="Normal"/>
        <w:jc w:val="center"/>
        <w:rPr>
          <w:b/>
          <w:bCs/>
          <w:color w:themeColor="text1" w:val="000000"/>
        </w:rPr>
      </w:pPr>
      <w:r>
        <w:rPr>
          <w:i/>
          <w:iCs/>
          <w:color w:themeColor="text1" w:val="000000"/>
        </w:rPr>
        <w:t>(Ban hành kèm theo Thông tư số     /2026/TT-BYT ngày      tháng    năm 2026 của Bộ trưởng Bộ Y tế)</w:t>
      </w:r>
    </w:p>
    <w:p>
      <w:pPr>
        <w:pStyle w:val="Normal"/>
        <w:rPr>
          <w:b/>
          <w:bCs/>
          <w:color w:themeColor="text1" w:val="000000"/>
        </w:rPr>
      </w:pPr>
      <w:r>
        <w:rPr>
          <w:b/>
          <w:bCs/>
          <w:color w:themeColor="text1" w:val="000000"/>
        </w:rPr>
      </w:r>
    </w:p>
    <w:tbl>
      <w:tblPr>
        <w:tblStyle w:val="TableGrid"/>
        <w:tblW w:w="8689"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46"/>
        <w:gridCol w:w="2934"/>
        <w:gridCol w:w="1277"/>
        <w:gridCol w:w="2267"/>
        <w:gridCol w:w="1465"/>
      </w:tblGrid>
      <w:tr>
        <w:trPr>
          <w:trHeight w:val="976" w:hRule="atLeast"/>
        </w:trPr>
        <w:tc>
          <w:tcPr>
            <w:tcW w:w="746"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STT</w:t>
            </w:r>
          </w:p>
        </w:tc>
        <w:tc>
          <w:tcPr>
            <w:tcW w:w="2934"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Tên dịch vụ</w:t>
            </w:r>
          </w:p>
        </w:tc>
        <w:tc>
          <w:tcPr>
            <w:tcW w:w="1277"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Số lần tối đa</w:t>
            </w:r>
          </w:p>
        </w:tc>
        <w:tc>
          <w:tcPr>
            <w:tcW w:w="2267"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Mức thanh toán</w:t>
            </w:r>
          </w:p>
        </w:tc>
        <w:tc>
          <w:tcPr>
            <w:tcW w:w="1465"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Ghi chú</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t>Đánh giá tăng trưởng (Chiều cao, cân nặng, BMI, vòng đầu)</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vMerge w:val="restart"/>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Bắt buộc</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tcPr>
          <w:p>
            <w:pPr>
              <w:pStyle w:val="Normal"/>
              <w:widowControl/>
              <w:spacing w:before="0" w:after="0"/>
              <w:jc w:val="left"/>
              <w:rPr>
                <w:color w:themeColor="text1" w:val="000000"/>
              </w:rPr>
            </w:pPr>
            <w:r>
              <w:rPr>
                <w:rFonts w:eastAsia="Times New Roman" w:cs="Times New Roman"/>
                <w:color w:val="1F1F1F"/>
                <w:kern w:val="0"/>
                <w:lang w:val="en-US" w:eastAsia="en-US" w:bidi="ar-SA"/>
              </w:rPr>
              <w:t>Đánh giá phát triển tinh thần vận động</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vMerge w:val="continue"/>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r>
          </w:p>
        </w:tc>
        <w:tc>
          <w:tcPr>
            <w:tcW w:w="1465" w:type="dxa"/>
            <w:tcBorders/>
          </w:tcPr>
          <w:p>
            <w:pPr>
              <w:pStyle w:val="Normal"/>
              <w:widowControl/>
              <w:spacing w:before="0" w:after="0"/>
              <w:jc w:val="left"/>
              <w:rPr>
                <w:color w:themeColor="text1" w:val="000000"/>
              </w:rPr>
            </w:pPr>
            <w:r>
              <w:rPr>
                <w:rFonts w:eastAsia="Times New Roman" w:cs="Times New Roman"/>
                <w:color w:themeColor="text1" w:val="000000"/>
                <w:kern w:val="0"/>
                <w:lang w:val="en-US" w:eastAsia="en-US" w:bidi="ar-SA"/>
              </w:rPr>
              <w:t>Bắt buộc</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tcPr>
          <w:p>
            <w:pPr>
              <w:pStyle w:val="Normal"/>
              <w:widowControl/>
              <w:spacing w:before="0" w:after="0"/>
              <w:jc w:val="left"/>
              <w:rPr>
                <w:color w:themeColor="text1" w:val="000000"/>
              </w:rPr>
            </w:pPr>
            <w:r>
              <w:rPr>
                <w:rFonts w:eastAsia="Times New Roman" w:cs="Times New Roman"/>
                <w:kern w:val="0"/>
                <w:lang w:val="en-US" w:eastAsia="en-US" w:bidi="ar-SA"/>
              </w:rPr>
              <w:t>Đánh giá dinh dưỡng</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vMerge w:val="continue"/>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Bắt buộc</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kern w:val="0"/>
                <w:lang w:val="en-US" w:eastAsia="en-US" w:bidi="ar-SA"/>
              </w:rPr>
              <w:t>Đánh giá tiêm chủng</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vMerge w:val="continue"/>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Bắt buộc</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tcPr>
          <w:p>
            <w:pPr>
              <w:pStyle w:val="Normal"/>
              <w:widowControl/>
              <w:pBdr/>
              <w:spacing w:before="0" w:after="0"/>
              <w:jc w:val="left"/>
              <w:rPr>
                <w:color w:val="1F1F1F"/>
              </w:rPr>
            </w:pPr>
            <w:r>
              <w:rPr>
                <w:rFonts w:eastAsia="Times New Roman" w:cs="Times New Roman"/>
                <w:color w:val="1F1F1F"/>
                <w:kern w:val="0"/>
                <w:lang w:val="en-US" w:eastAsia="en-US" w:bidi="ar-SA"/>
              </w:rPr>
              <w:t xml:space="preserve">Khám Mắt / </w:t>
            </w:r>
          </w:p>
          <w:p>
            <w:pPr>
              <w:pStyle w:val="Normal"/>
              <w:widowControl/>
              <w:spacing w:before="0" w:after="0"/>
              <w:jc w:val="left"/>
              <w:rPr>
                <w:color w:themeColor="text1" w:val="000000"/>
              </w:rPr>
            </w:pPr>
            <w:r>
              <w:rPr>
                <w:rFonts w:eastAsia="Times New Roman" w:cs="Times New Roman"/>
                <w:color w:val="1F1F1F"/>
                <w:kern w:val="0"/>
                <w:lang w:val="en-US" w:eastAsia="en-US" w:bidi="ar-SA"/>
              </w:rPr>
              <w:t>Thị lực</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vAlign w:val="center"/>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color w:val="1F1F1F"/>
                <w:kern w:val="0"/>
                <w:lang w:val="en-US" w:eastAsia="en-US" w:bidi="ar-SA"/>
              </w:rPr>
              <w:t>Khám Răng Hàm Mặt</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vAlign w:val="center"/>
          </w:tcPr>
          <w:p>
            <w:pPr>
              <w:pStyle w:val="Normal"/>
              <w:widowControl/>
              <w:spacing w:before="0" w:after="0"/>
              <w:jc w:val="left"/>
              <w:rPr>
                <w:rFonts w:ascii="Times New Roman" w:hAnsi="Times New Roman" w:eastAsia="Times New Roman" w:cs="Times New Roman"/>
                <w:kern w:val="0"/>
                <w:lang w:val="en-US" w:eastAsia="en-US" w:bidi="ar-SA"/>
              </w:rPr>
            </w:pPr>
            <w:r>
              <w:rPr>
                <w:rFonts w:eastAsia="Times New Roman" w:cs="Times New Roman"/>
                <w:color w:val="1F1F1F"/>
                <w:kern w:val="0"/>
                <w:lang w:val="en-US" w:eastAsia="en-US" w:bidi="ar-SA"/>
              </w:rPr>
              <w:t>Khám Sức khỏe tâm thần</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vAlign w:val="center"/>
          </w:tcPr>
          <w:p>
            <w:pPr>
              <w:pStyle w:val="Normal"/>
              <w:widowControl/>
              <w:spacing w:before="0" w:after="0"/>
              <w:jc w:val="left"/>
              <w:rPr>
                <w:lang w:val="vi-VN"/>
              </w:rPr>
            </w:pPr>
            <w:r>
              <w:rPr>
                <w:rFonts w:eastAsia="Times New Roman" w:cs="Times New Roman"/>
                <w:color w:val="1F1F1F"/>
                <w:kern w:val="0"/>
                <w:lang w:val="en-US" w:eastAsia="en-US" w:bidi="ar-SA"/>
              </w:rPr>
              <w:t>Xét nghiệm công thức</w:t>
            </w:r>
            <w:r>
              <w:rPr>
                <w:rFonts w:eastAsia="Times New Roman" w:cs="Times New Roman"/>
                <w:color w:val="1F1F1F"/>
                <w:kern w:val="0"/>
                <w:lang w:val="vi-VN" w:eastAsia="en-US" w:bidi="ar-SA"/>
              </w:rPr>
              <w:t xml:space="preserve"> máu</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51.700</w:t>
            </w:r>
          </w:p>
        </w:tc>
        <w:tc>
          <w:tcPr>
            <w:tcW w:w="1465" w:type="dxa"/>
            <w:tcBorders/>
          </w:tcPr>
          <w:p>
            <w:pPr>
              <w:pStyle w:val="Normal"/>
              <w:widowControl/>
              <w:spacing w:before="0" w:after="0"/>
              <w:jc w:val="both"/>
              <w:rPr>
                <w:color w:themeColor="text1" w:val="000000"/>
                <w:lang w:val="vi-VN"/>
              </w:rPr>
            </w:pPr>
            <w:r>
              <w:rPr>
                <w:rFonts w:eastAsia="Times New Roman" w:cs="Times New Roman"/>
                <w:color w:themeColor="text1" w:val="000000"/>
                <w:kern w:val="0"/>
                <w:lang w:val="en-US" w:eastAsia="en-US" w:bidi="ar-SA"/>
              </w:rPr>
              <w:t>Xét</w:t>
            </w:r>
            <w:r>
              <w:rPr>
                <w:rFonts w:eastAsia="Times New Roman" w:cs="Times New Roman"/>
                <w:color w:themeColor="text1" w:val="000000"/>
                <w:kern w:val="0"/>
                <w:lang w:val="vi-VN" w:eastAsia="en-US" w:bidi="ar-SA"/>
              </w:rPr>
              <w:t xml:space="preserve"> nghiệm nhóm </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vAlign w:val="center"/>
          </w:tcPr>
          <w:p>
            <w:pPr>
              <w:pStyle w:val="Normal"/>
              <w:widowControl/>
              <w:spacing w:before="0" w:after="0"/>
              <w:jc w:val="left"/>
              <w:rPr>
                <w:color w:val="1F1F1F"/>
              </w:rPr>
            </w:pPr>
            <w:r>
              <w:rPr>
                <w:rFonts w:eastAsia="Times New Roman" w:cs="Times New Roman"/>
                <w:color w:val="1F1F1F"/>
                <w:kern w:val="0"/>
                <w:lang w:val="en-US" w:eastAsia="en-US" w:bidi="ar-SA"/>
              </w:rPr>
              <w:t xml:space="preserve">Xét nghiệm </w:t>
            </w:r>
            <w:r>
              <w:rPr>
                <w:rFonts w:eastAsia="Times New Roman" w:cs="Times New Roman"/>
                <w:color w:val="1F1F1F"/>
                <w:kern w:val="0"/>
                <w:lang w:val="vi-VN" w:eastAsia="en-US" w:bidi="ar-SA"/>
              </w:rPr>
              <w:t>nhóm máu</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23.300</w:t>
            </w:r>
          </w:p>
        </w:tc>
        <w:tc>
          <w:tcPr>
            <w:tcW w:w="1465" w:type="dxa"/>
            <w:tcBorders/>
          </w:tcPr>
          <w:p>
            <w:pPr>
              <w:pStyle w:val="Normal"/>
              <w:widowControl/>
              <w:spacing w:before="0" w:after="0"/>
              <w:jc w:val="both"/>
              <w:rPr>
                <w:color w:themeColor="text1" w:val="000000"/>
                <w:lang w:val="vi-VN"/>
              </w:rPr>
            </w:pPr>
            <w:r>
              <w:rPr>
                <w:rFonts w:eastAsia="Times New Roman" w:cs="Times New Roman"/>
                <w:color w:themeColor="text1" w:val="000000"/>
                <w:kern w:val="0"/>
                <w:lang w:val="en-US" w:eastAsia="en-US" w:bidi="ar-SA"/>
              </w:rPr>
              <w:t>Chỉ</w:t>
            </w:r>
            <w:r>
              <w:rPr>
                <w:rFonts w:eastAsia="Times New Roman" w:cs="Times New Roman"/>
                <w:color w:themeColor="text1" w:val="000000"/>
                <w:kern w:val="0"/>
                <w:lang w:val="vi-VN" w:eastAsia="en-US" w:bidi="ar-SA"/>
              </w:rPr>
              <w:t xml:space="preserve"> thực hiện 01 lần đầu tiên nếu chưa có kết quả xét nghiệm trước đó.</w:t>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vAlign w:val="center"/>
          </w:tcPr>
          <w:p>
            <w:pPr>
              <w:pStyle w:val="Normal"/>
              <w:widowControl/>
              <w:spacing w:before="0" w:after="0"/>
              <w:jc w:val="left"/>
              <w:rPr>
                <w:color w:val="1F1F1F"/>
              </w:rPr>
            </w:pPr>
            <w:r>
              <w:rPr>
                <w:rFonts w:eastAsia="Times New Roman" w:cs="Times New Roman"/>
                <w:color w:val="1F1F1F"/>
                <w:kern w:val="0"/>
                <w:lang w:val="en-US" w:eastAsia="en-US" w:bidi="ar-SA"/>
              </w:rPr>
              <w:t>Tổng phân tích nước tiểu</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 xml:space="preserve">được cấp có thẩm quyền phê duyệt, tối đa không quá </w:t>
            </w:r>
            <w:r>
              <w:rPr>
                <w:rFonts w:eastAsia="Times New Roman" w:cs="Times New Roman"/>
                <w:color w:themeColor="text1" w:val="000000"/>
                <w:kern w:val="0"/>
                <w:lang w:val="vi-VN" w:eastAsia="en-US" w:bidi="ar-SA"/>
              </w:rPr>
              <w:t xml:space="preserve"> </w:t>
            </w:r>
            <w:r>
              <w:rPr>
                <w:rFonts w:eastAsia="Times New Roman" w:cs="Times New Roman"/>
                <w:color w:themeColor="text1" w:val="000000"/>
                <w:kern w:val="0"/>
                <w:lang w:val="en-US" w:eastAsia="en-US" w:bidi="ar-SA"/>
              </w:rPr>
              <w:t>29.700</w:t>
            </w:r>
          </w:p>
        </w:tc>
        <w:tc>
          <w:tcPr>
            <w:tcW w:w="1465"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r>
          </w:p>
        </w:tc>
      </w:tr>
      <w:tr>
        <w:trPr/>
        <w:tc>
          <w:tcPr>
            <w:tcW w:w="746" w:type="dxa"/>
            <w:tcBorders/>
          </w:tcPr>
          <w:p>
            <w:pPr>
              <w:pStyle w:val="ListParagraph"/>
              <w:widowControl/>
              <w:numPr>
                <w:ilvl w:val="0"/>
                <w:numId w:val="2"/>
              </w:numPr>
              <w:spacing w:before="0" w:after="160"/>
              <w:contextualSpacing/>
              <w:jc w:val="center"/>
              <w:rPr>
                <w:color w:themeColor="text1" w:val="000000"/>
                <w:sz w:val="24"/>
                <w:szCs w:val="24"/>
              </w:rPr>
            </w:pPr>
            <w:r>
              <w:rPr>
                <w:color w:themeColor="text1" w:val="000000"/>
                <w:kern w:val="0"/>
                <w:sz w:val="24"/>
                <w:szCs w:val="24"/>
                <w:lang w:val="en-US" w:eastAsia="en-US" w:bidi="ar-SA"/>
              </w:rPr>
            </w:r>
          </w:p>
        </w:tc>
        <w:tc>
          <w:tcPr>
            <w:tcW w:w="2934" w:type="dxa"/>
            <w:tcBorders/>
            <w:vAlign w:val="center"/>
          </w:tcPr>
          <w:p>
            <w:pPr>
              <w:pStyle w:val="Normal"/>
              <w:widowControl/>
              <w:spacing w:before="0" w:after="0"/>
              <w:jc w:val="left"/>
              <w:rPr>
                <w:color w:val="1F1F1F"/>
              </w:rPr>
            </w:pPr>
            <w:r>
              <w:rPr>
                <w:rFonts w:eastAsia="Times New Roman" w:cs="Times New Roman"/>
                <w:color w:val="1F1F1F"/>
                <w:kern w:val="0"/>
                <w:lang w:val="en-US" w:eastAsia="en-US" w:bidi="ar-SA"/>
              </w:rPr>
              <w:t>Siêu âm ổ bụng</w:t>
            </w:r>
          </w:p>
        </w:tc>
        <w:tc>
          <w:tcPr>
            <w:tcW w:w="1277" w:type="dxa"/>
            <w:tcBorders/>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267" w:type="dxa"/>
            <w:tcBorders/>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 xml:space="preserve">được cấp có thẩm quyền phê duyệt, tối đa không quá </w:t>
            </w:r>
            <w:r>
              <w:rPr>
                <w:rFonts w:eastAsia="Times New Roman" w:cs="Times New Roman"/>
                <w:color w:themeColor="text1" w:val="000000"/>
                <w:kern w:val="0"/>
                <w:lang w:val="vi-VN" w:eastAsia="en-US" w:bidi="ar-SA"/>
              </w:rPr>
              <w:t xml:space="preserve"> </w:t>
            </w:r>
            <w:r>
              <w:rPr>
                <w:rFonts w:eastAsia="Times New Roman" w:cs="Times New Roman"/>
                <w:color w:themeColor="text1" w:val="000000"/>
                <w:kern w:val="0"/>
                <w:lang w:val="en-US" w:eastAsia="en-US" w:bidi="ar-SA"/>
              </w:rPr>
              <w:t>61.000</w:t>
            </w:r>
          </w:p>
        </w:tc>
        <w:tc>
          <w:tcPr>
            <w:tcW w:w="1465" w:type="dxa"/>
            <w:tcBorders/>
          </w:tcPr>
          <w:p>
            <w:pPr>
              <w:pStyle w:val="Normal"/>
              <w:widowControl/>
              <w:spacing w:before="0" w:after="0"/>
              <w:jc w:val="both"/>
              <w:rPr>
                <w:color w:themeColor="text1" w:val="000000"/>
                <w:lang w:val="vi-VN"/>
              </w:rPr>
            </w:pPr>
            <w:r>
              <w:rPr>
                <w:rFonts w:eastAsia="Times New Roman" w:cs="Times New Roman"/>
                <w:color w:themeColor="text1" w:val="000000"/>
                <w:kern w:val="0"/>
                <w:lang w:val="en-US" w:eastAsia="en-US" w:bidi="ar-SA"/>
              </w:rPr>
              <w:t>Theo</w:t>
            </w:r>
            <w:r>
              <w:rPr>
                <w:rFonts w:eastAsia="Times New Roman" w:cs="Times New Roman"/>
                <w:color w:themeColor="text1" w:val="000000"/>
                <w:kern w:val="0"/>
                <w:lang w:val="vi-VN" w:eastAsia="en-US" w:bidi="ar-SA"/>
              </w:rPr>
              <w:t xml:space="preserve"> hướng dẫn chuyên môn, tình trạng thực tế của người được khám.</w:t>
            </w:r>
          </w:p>
        </w:tc>
      </w:tr>
      <w:tr>
        <w:trPr/>
        <w:tc>
          <w:tcPr>
            <w:tcW w:w="746" w:type="dxa"/>
            <w:tcBorders/>
          </w:tcPr>
          <w:p>
            <w:pPr>
              <w:pStyle w:val="Normal"/>
              <w:widowControl/>
              <w:spacing w:before="0" w:after="0"/>
              <w:jc w:val="center"/>
              <w:rPr>
                <w:b/>
                <w:bCs/>
                <w:color w:themeColor="text1" w:val="000000"/>
                <w:sz w:val="24"/>
                <w:szCs w:val="24"/>
              </w:rPr>
            </w:pPr>
            <w:r>
              <w:rPr>
                <w:rFonts w:eastAsia="Times New Roman" w:cs="Times New Roman"/>
                <w:b/>
                <w:bCs/>
                <w:color w:themeColor="text1" w:val="000000"/>
                <w:kern w:val="0"/>
                <w:sz w:val="24"/>
                <w:szCs w:val="24"/>
                <w:lang w:val="en-US" w:eastAsia="en-US" w:bidi="ar-SA"/>
              </w:rPr>
            </w:r>
          </w:p>
        </w:tc>
        <w:tc>
          <w:tcPr>
            <w:tcW w:w="2934" w:type="dxa"/>
            <w:tcBorders/>
          </w:tcPr>
          <w:p>
            <w:pPr>
              <w:pStyle w:val="Normal"/>
              <w:widowControl/>
              <w:spacing w:before="0" w:after="0"/>
              <w:jc w:val="center"/>
              <w:rPr>
                <w:b/>
                <w:bCs/>
              </w:rPr>
            </w:pPr>
            <w:r>
              <w:rPr>
                <w:rFonts w:eastAsia="Times New Roman" w:cs="Times New Roman"/>
                <w:b/>
                <w:bCs/>
                <w:kern w:val="0"/>
                <w:lang w:val="en-US" w:eastAsia="en-US" w:bidi="ar-SA"/>
              </w:rPr>
              <w:t>Tổng</w:t>
            </w:r>
            <w:r>
              <w:rPr>
                <w:rFonts w:eastAsia="Times New Roman" w:cs="Times New Roman"/>
                <w:b/>
                <w:bCs/>
                <w:kern w:val="0"/>
                <w:lang w:val="vi-VN" w:eastAsia="en-US" w:bidi="ar-SA"/>
              </w:rPr>
              <w:t xml:space="preserve"> chi phí</w:t>
            </w:r>
            <w:r>
              <w:rPr>
                <w:rFonts w:eastAsia="Times New Roman" w:cs="Times New Roman"/>
                <w:b/>
                <w:bCs/>
                <w:kern w:val="0"/>
                <w:lang w:val="en-US" w:eastAsia="en-US" w:bidi="ar-SA"/>
              </w:rPr>
              <w:t xml:space="preserve"> tối đa không quá</w:t>
            </w:r>
          </w:p>
        </w:tc>
        <w:tc>
          <w:tcPr>
            <w:tcW w:w="1277"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c>
          <w:tcPr>
            <w:tcW w:w="2267"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250.000</w:t>
            </w:r>
          </w:p>
        </w:tc>
        <w:tc>
          <w:tcPr>
            <w:tcW w:w="1465" w:type="dxa"/>
            <w:tcBorders/>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r>
    </w:tbl>
    <w:p>
      <w:pPr>
        <w:pStyle w:val="Normal"/>
        <w:rPr>
          <w:b/>
          <w:bCs/>
          <w:color w:themeColor="text1" w:val="000000"/>
        </w:rPr>
      </w:pPr>
      <w:r>
        <w:rPr>
          <w:b/>
          <w:bCs/>
          <w:color w:themeColor="text1" w:val="000000"/>
        </w:rPr>
      </w:r>
    </w:p>
    <w:p>
      <w:pPr>
        <w:pStyle w:val="Normal"/>
        <w:rPr>
          <w:lang w:val="pt-BR"/>
        </w:rPr>
      </w:pPr>
      <w:r>
        <w:rPr>
          <w:lang w:val="pt-BR"/>
        </w:rPr>
      </w:r>
    </w:p>
    <w:p>
      <w:pPr>
        <w:pStyle w:val="Normal"/>
        <w:jc w:val="both"/>
        <w:rPr>
          <w:i/>
          <w:iCs/>
          <w:color w:themeColor="text1" w:val="000000"/>
        </w:rPr>
      </w:pPr>
      <w:r>
        <w:rPr>
          <w:i/>
          <w:iCs/>
          <w:color w:themeColor="text1" w:val="000000"/>
        </w:rPr>
        <w:t xml:space="preserve">Ghi chú: </w:t>
      </w:r>
    </w:p>
    <w:p>
      <w:pPr>
        <w:pStyle w:val="Normal"/>
        <w:jc w:val="both"/>
        <w:rPr>
          <w:i/>
          <w:iCs/>
          <w:color w:themeColor="text1" w:val="000000"/>
          <w:lang w:val="vi-VN"/>
        </w:rPr>
      </w:pPr>
      <w:r>
        <w:rPr>
          <w:i/>
          <w:iCs/>
          <w:color w:themeColor="text1" w:val="000000"/>
          <w:lang w:val="vi-VN"/>
        </w:rPr>
        <w:t>- Các dịch vụ tại phụ lục này là số lượng tối đa, bác sỹ khám quyết định chỉ định dịch vụ cụ thể theo hướng dẫn chuyên môn, tình trạng thực tế của người được khám.</w:t>
      </w:r>
    </w:p>
    <w:p>
      <w:pPr>
        <w:pStyle w:val="Normal"/>
        <w:jc w:val="both"/>
        <w:rPr>
          <w:i/>
          <w:iCs/>
        </w:rPr>
      </w:pPr>
      <w:r>
        <w:rPr>
          <w:i/>
          <w:iCs/>
          <w:color w:themeColor="text1" w:val="000000"/>
          <w:lang w:val="vi-VN"/>
        </w:rPr>
        <w:t xml:space="preserve">- </w:t>
      </w:r>
      <w:r>
        <w:rPr>
          <w:i/>
          <w:iCs/>
          <w:color w:themeColor="text1" w:val="000000"/>
        </w:rPr>
        <w:t>Các dịch</w:t>
      </w:r>
      <w:r>
        <w:rPr>
          <w:i/>
          <w:iCs/>
          <w:color w:themeColor="text1" w:val="000000"/>
          <w:lang w:val="vi-VN"/>
        </w:rPr>
        <w:t xml:space="preserve"> vụ cận lâm sàng mà </w:t>
      </w:r>
      <w:r>
        <w:rPr>
          <w:i/>
          <w:iCs/>
          <w:color w:themeColor="text1" w:val="000000"/>
        </w:rPr>
        <w:t>người dân đã được làm</w:t>
      </w:r>
      <w:r>
        <w:rPr>
          <w:i/>
          <w:iCs/>
        </w:rPr>
        <w:t xml:space="preserve"> trong khoảng thời gian không quá 3 tháng trước thời điểm khám mà</w:t>
      </w:r>
      <w:r>
        <w:rPr>
          <w:i/>
          <w:iCs/>
          <w:color w:themeColor="text1" w:val="000000"/>
        </w:rPr>
        <w:t xml:space="preserve"> kết quả được tích hợp và tra cứu trên </w:t>
      </w:r>
      <w:r>
        <w:rPr>
          <w:i/>
          <w:iCs/>
        </w:rPr>
        <w:t xml:space="preserve">Cổng </w:t>
      </w:r>
      <w:r>
        <w:rPr>
          <w:i/>
          <w:iCs/>
          <w:lang w:val="vi-VN"/>
        </w:rPr>
        <w:t xml:space="preserve">tiếp nhận dữ liệu </w:t>
      </w:r>
      <w:r>
        <w:rPr>
          <w:i/>
          <w:iCs/>
        </w:rPr>
        <w:t>của Bảo hiểm xã hội</w:t>
      </w:r>
      <w:r>
        <w:rPr>
          <w:i/>
          <w:iCs/>
          <w:lang w:val="vi-VN"/>
        </w:rPr>
        <w:t xml:space="preserve"> Việt Nam</w:t>
      </w:r>
      <w:r>
        <w:rPr>
          <w:i/>
          <w:iCs/>
        </w:rPr>
        <w:t xml:space="preserve"> thì theo yêu cầu chuyên môn bác sỹ thực hiện khám sức khỏe định kỳ xem xét việc có chỉ định thực hiện dịch vụ kỹ thuật hay sử dụng kết quả lần khám, chữa bệnh trước đó.</w:t>
      </w:r>
    </w:p>
    <w:p>
      <w:pPr>
        <w:pStyle w:val="Normal"/>
        <w:jc w:val="both"/>
        <w:rPr>
          <w:i/>
          <w:iCs/>
        </w:rPr>
      </w:pPr>
      <w:r>
        <w:rPr>
          <w:i/>
          <w:iCs/>
        </w:rPr>
      </w:r>
    </w:p>
    <w:p>
      <w:pPr>
        <w:pStyle w:val="Normal"/>
        <w:jc w:val="center"/>
        <w:rPr>
          <w:b/>
          <w:bCs/>
          <w:color w:themeColor="text1" w:val="000000"/>
        </w:rPr>
      </w:pPr>
      <w:r>
        <w:rPr>
          <w:b/>
          <w:bCs/>
          <w:color w:themeColor="text1" w:val="000000"/>
        </w:rPr>
      </w:r>
    </w:p>
    <w:p>
      <w:pPr>
        <w:pStyle w:val="Normal"/>
        <w:jc w:val="center"/>
        <w:rPr>
          <w:b/>
          <w:bCs/>
          <w:color w:themeColor="text1" w:val="000000"/>
        </w:rPr>
      </w:pPr>
      <w:r>
        <w:rPr>
          <w:b/>
          <w:bCs/>
          <w:color w:themeColor="text1" w:val="000000"/>
        </w:rPr>
      </w:r>
      <w:r>
        <w:br w:type="page"/>
      </w:r>
    </w:p>
    <w:p>
      <w:pPr>
        <w:pStyle w:val="Normal"/>
        <w:spacing w:before="0" w:after="0"/>
        <w:jc w:val="center"/>
        <w:rPr>
          <w:color w:themeColor="text1" w:val="000000"/>
        </w:rPr>
      </w:pPr>
      <w:r>
        <w:rPr>
          <w:b/>
          <w:bCs/>
          <w:color w:themeColor="text1" w:val="000000"/>
        </w:rPr>
        <w:t>PHỤ LỤC 3</w:t>
      </w:r>
    </w:p>
    <w:p>
      <w:pPr>
        <w:pStyle w:val="Normal"/>
        <w:jc w:val="center"/>
        <w:rPr>
          <w:color w:themeColor="text1" w:val="000000"/>
          <w:sz w:val="24"/>
          <w:szCs w:val="24"/>
          <w:lang w:val="vi-VN"/>
        </w:rPr>
      </w:pPr>
      <w:r>
        <w:rPr>
          <w:color w:themeColor="text1" w:val="000000"/>
          <w:sz w:val="24"/>
          <w:szCs w:val="24"/>
        </w:rPr>
        <w:t>DỊCH VỤ KỸ THUẬT Y TẾ KHÁM SỨC KHOẺ ĐỊNH KỲ, KIỂM TRA SỨC KHỎE ĐẦU NĂM HỌC DO QUỸ BẢO HIỂM Y TẾ CHI TRẢ ĐỐI VỚI TRẺ EM DƯỚI 6 TUỔI</w:t>
      </w:r>
    </w:p>
    <w:p>
      <w:pPr>
        <w:pStyle w:val="Normal"/>
        <w:jc w:val="center"/>
        <w:rPr>
          <w:i/>
          <w:iCs/>
          <w:color w:themeColor="text1" w:val="000000"/>
        </w:rPr>
      </w:pPr>
      <w:r>
        <w:rPr>
          <w:i/>
          <w:iCs/>
          <w:color w:themeColor="text1" w:val="000000"/>
        </w:rPr>
        <w:t>(Ban hành kèm theo Thông tư số     /2026/TT-BYT ngày      tháng    năm 2026 của Bộ trưởng Bộ Y tế)</w:t>
      </w:r>
    </w:p>
    <w:p>
      <w:pPr>
        <w:pStyle w:val="Normal"/>
        <w:jc w:val="center"/>
        <w:rPr>
          <w:b/>
          <w:bCs/>
          <w:color w:themeColor="text1" w:val="000000"/>
        </w:rPr>
      </w:pPr>
      <w:r>
        <w:rPr>
          <w:b/>
          <w:bCs/>
          <w:color w:themeColor="text1" w:val="000000"/>
        </w:rPr>
      </w:r>
    </w:p>
    <w:tbl>
      <w:tblPr>
        <w:tblStyle w:val="TableGrid"/>
        <w:tblW w:w="9064"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845"/>
        <w:gridCol w:w="2780"/>
        <w:gridCol w:w="1472"/>
        <w:gridCol w:w="2154"/>
        <w:gridCol w:w="1813"/>
      </w:tblGrid>
      <w:tr>
        <w:trPr/>
        <w:tc>
          <w:tcPr>
            <w:tcW w:w="845"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STT</w:t>
            </w:r>
          </w:p>
        </w:tc>
        <w:tc>
          <w:tcPr>
            <w:tcW w:w="2780"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Tên dịch vụ</w:t>
            </w:r>
          </w:p>
        </w:tc>
        <w:tc>
          <w:tcPr>
            <w:tcW w:w="1472"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Số lần tối đa</w:t>
            </w:r>
          </w:p>
        </w:tc>
        <w:tc>
          <w:tcPr>
            <w:tcW w:w="2154"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Mức thanh toán</w:t>
            </w:r>
          </w:p>
        </w:tc>
        <w:tc>
          <w:tcPr>
            <w:tcW w:w="1813"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Ghi chú</w:t>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1</w:t>
            </w:r>
          </w:p>
        </w:tc>
        <w:tc>
          <w:tcPr>
            <w:tcW w:w="2780" w:type="dxa"/>
            <w:tcBorders/>
            <w:vAlign w:val="center"/>
          </w:tcPr>
          <w:p>
            <w:pPr>
              <w:pStyle w:val="Normal"/>
              <w:widowControl/>
              <w:spacing w:before="0" w:after="0"/>
              <w:jc w:val="both"/>
              <w:rPr>
                <w:b/>
                <w:bCs/>
                <w:color w:themeColor="text1" w:val="000000"/>
              </w:rPr>
            </w:pPr>
            <w:r>
              <w:rPr>
                <w:rFonts w:eastAsia="Times New Roman" w:cs="Times New Roman"/>
                <w:color w:themeColor="text1" w:val="000000"/>
                <w:kern w:val="0"/>
                <w:lang w:val="en-US" w:eastAsia="en-US" w:bidi="ar-SA"/>
              </w:rPr>
              <w:t>Đánh giá tăng trưởng (Chiều cao, cân nặng, BMI, vòng đầu)</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vMerge w:val="restart"/>
            <w:tcBorders/>
            <w:vAlign w:val="center"/>
          </w:tcPr>
          <w:p>
            <w:pPr>
              <w:pStyle w:val="Normal"/>
              <w:widowControl/>
              <w:spacing w:before="0" w:after="0"/>
              <w:jc w:val="center"/>
              <w:rPr>
                <w:b/>
                <w:bCs/>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813" w:type="dxa"/>
            <w:vMerge w:val="restart"/>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2</w:t>
            </w:r>
          </w:p>
        </w:tc>
        <w:tc>
          <w:tcPr>
            <w:tcW w:w="2780" w:type="dxa"/>
            <w:tcBorders/>
            <w:vAlign w:val="center"/>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Đánh giá dinh dưỡng</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vMerge w:val="continue"/>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c>
          <w:tcPr>
            <w:tcW w:w="1813" w:type="dxa"/>
            <w:vMerge w:val="continue"/>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3</w:t>
            </w:r>
          </w:p>
        </w:tc>
        <w:tc>
          <w:tcPr>
            <w:tcW w:w="2780" w:type="dxa"/>
            <w:tcBorders/>
            <w:vAlign w:val="center"/>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Đánh giá phát triển tinh thần – vận động</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vMerge w:val="continue"/>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c>
          <w:tcPr>
            <w:tcW w:w="1813" w:type="dxa"/>
            <w:vMerge w:val="continue"/>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4</w:t>
            </w:r>
          </w:p>
        </w:tc>
        <w:tc>
          <w:tcPr>
            <w:tcW w:w="2780" w:type="dxa"/>
            <w:tcBorders/>
            <w:vAlign w:val="center"/>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Đánh giá tiêm chủng</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vMerge w:val="continue"/>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c>
          <w:tcPr>
            <w:tcW w:w="1813" w:type="dxa"/>
            <w:vMerge w:val="continue"/>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5</w:t>
            </w:r>
          </w:p>
        </w:tc>
        <w:tc>
          <w:tcPr>
            <w:tcW w:w="2780" w:type="dxa"/>
            <w:tcBorders/>
            <w:vAlign w:val="center"/>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Khám Mắt</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813"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6</w:t>
            </w:r>
          </w:p>
        </w:tc>
        <w:tc>
          <w:tcPr>
            <w:tcW w:w="2780" w:type="dxa"/>
            <w:tcBorders/>
            <w:vAlign w:val="center"/>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Khám Tai -Mũi- Họng</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813"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r>
      <w:tr>
        <w:trPr/>
        <w:tc>
          <w:tcPr>
            <w:tcW w:w="845"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8</w:t>
            </w:r>
          </w:p>
        </w:tc>
        <w:tc>
          <w:tcPr>
            <w:tcW w:w="2780" w:type="dxa"/>
            <w:tcBorders/>
            <w:vAlign w:val="center"/>
          </w:tcPr>
          <w:p>
            <w:pPr>
              <w:pStyle w:val="Normal"/>
              <w:widowControl/>
              <w:spacing w:before="0" w:after="0"/>
              <w:jc w:val="both"/>
              <w:rPr>
                <w:color w:themeColor="text1" w:val="000000"/>
              </w:rPr>
            </w:pPr>
            <w:r>
              <w:rPr>
                <w:rFonts w:eastAsia="Times New Roman" w:cs="Times New Roman"/>
                <w:color w:themeColor="text1" w:val="000000"/>
                <w:kern w:val="0"/>
                <w:lang w:val="en-US" w:eastAsia="en-US" w:bidi="ar-SA"/>
              </w:rPr>
              <w:t>Khám Miệng, Răng</w:t>
            </w:r>
          </w:p>
        </w:tc>
        <w:tc>
          <w:tcPr>
            <w:tcW w:w="1472"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01</w:t>
            </w:r>
          </w:p>
        </w:tc>
        <w:tc>
          <w:tcPr>
            <w:tcW w:w="2154"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t>Giá dịch</w:t>
            </w:r>
            <w:r>
              <w:rPr>
                <w:rFonts w:eastAsia="Times New Roman" w:cs="Times New Roman"/>
                <w:color w:themeColor="text1" w:val="000000"/>
                <w:kern w:val="0"/>
                <w:lang w:val="vi-VN" w:eastAsia="en-US" w:bidi="ar-SA"/>
              </w:rPr>
              <w:t xml:space="preserve"> vụ </w:t>
            </w:r>
            <w:r>
              <w:rPr>
                <w:rFonts w:eastAsia="Times New Roman" w:cs="Times New Roman"/>
                <w:color w:themeColor="text1" w:val="000000"/>
                <w:kern w:val="0"/>
                <w:lang w:val="en-US" w:eastAsia="en-US" w:bidi="ar-SA"/>
              </w:rPr>
              <w:t>được cấp có thẩm quyền phê duyệt, tối đa không quá 52</w:t>
            </w:r>
            <w:r>
              <w:rPr>
                <w:rFonts w:eastAsia="Times New Roman" w:cs="Times New Roman"/>
                <w:color w:themeColor="text1" w:val="000000"/>
                <w:kern w:val="0"/>
                <w:lang w:val="vi-VN" w:eastAsia="en-US" w:bidi="ar-SA"/>
              </w:rPr>
              <w:t>.600</w:t>
            </w:r>
          </w:p>
        </w:tc>
        <w:tc>
          <w:tcPr>
            <w:tcW w:w="1813" w:type="dxa"/>
            <w:tcBorders/>
            <w:vAlign w:val="center"/>
          </w:tcPr>
          <w:p>
            <w:pPr>
              <w:pStyle w:val="Normal"/>
              <w:widowControl/>
              <w:spacing w:before="0" w:after="0"/>
              <w:jc w:val="center"/>
              <w:rPr>
                <w:color w:themeColor="text1" w:val="000000"/>
              </w:rPr>
            </w:pPr>
            <w:r>
              <w:rPr>
                <w:rFonts w:eastAsia="Times New Roman" w:cs="Times New Roman"/>
                <w:color w:themeColor="text1" w:val="000000"/>
                <w:kern w:val="0"/>
                <w:lang w:val="en-US" w:eastAsia="en-US" w:bidi="ar-SA"/>
              </w:rPr>
            </w:r>
          </w:p>
        </w:tc>
      </w:tr>
      <w:tr>
        <w:trPr/>
        <w:tc>
          <w:tcPr>
            <w:tcW w:w="845"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c>
          <w:tcPr>
            <w:tcW w:w="2780"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Tổng chi phí tối đa không quá</w:t>
            </w:r>
          </w:p>
        </w:tc>
        <w:tc>
          <w:tcPr>
            <w:tcW w:w="1472"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c>
          <w:tcPr>
            <w:tcW w:w="2154"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t>200.000</w:t>
            </w:r>
          </w:p>
        </w:tc>
        <w:tc>
          <w:tcPr>
            <w:tcW w:w="1813" w:type="dxa"/>
            <w:tcBorders/>
            <w:vAlign w:val="center"/>
          </w:tcPr>
          <w:p>
            <w:pPr>
              <w:pStyle w:val="Normal"/>
              <w:widowControl/>
              <w:spacing w:before="0" w:after="0"/>
              <w:jc w:val="center"/>
              <w:rPr>
                <w:b/>
                <w:bCs/>
                <w:color w:themeColor="text1" w:val="000000"/>
              </w:rPr>
            </w:pPr>
            <w:r>
              <w:rPr>
                <w:rFonts w:eastAsia="Times New Roman" w:cs="Times New Roman"/>
                <w:b/>
                <w:bCs/>
                <w:color w:themeColor="text1" w:val="000000"/>
                <w:kern w:val="0"/>
                <w:lang w:val="en-US" w:eastAsia="en-US" w:bidi="ar-SA"/>
              </w:rPr>
            </w:r>
          </w:p>
        </w:tc>
      </w:tr>
    </w:tbl>
    <w:p>
      <w:pPr>
        <w:pStyle w:val="Normal"/>
        <w:rPr>
          <w:b/>
          <w:bCs/>
          <w:color w:themeColor="text1" w:val="000000"/>
        </w:rPr>
      </w:pPr>
      <w:r>
        <w:rPr>
          <w:b/>
          <w:bCs/>
          <w:color w:themeColor="text1" w:val="000000"/>
        </w:rPr>
      </w:r>
    </w:p>
    <w:p>
      <w:pPr>
        <w:pStyle w:val="Normal"/>
        <w:spacing w:before="0" w:after="0"/>
        <w:rPr>
          <w:b/>
          <w:bCs/>
          <w:color w:themeColor="text1" w:val="000000"/>
        </w:rPr>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81" w:charSpace="0"/>
        </w:sectPr>
      </w:pPr>
      <w:r>
        <w:rPr>
          <w:b/>
          <w:bCs/>
          <w:color w:themeColor="text1" w:val="000000"/>
        </w:rPr>
      </w:r>
      <w:r>
        <w:br w:type="page"/>
      </w:r>
    </w:p>
    <w:p>
      <w:pPr>
        <w:pStyle w:val="Normal"/>
        <w:jc w:val="center"/>
        <w:rPr>
          <w:color w:themeColor="text1" w:val="000000"/>
        </w:rPr>
      </w:pPr>
      <w:r>
        <w:rPr>
          <w:b/>
          <w:bCs/>
          <w:color w:themeColor="text1" w:val="000000"/>
        </w:rPr>
        <w:t>PHỤ LỤC 4</w:t>
      </w:r>
    </w:p>
    <w:p>
      <w:pPr>
        <w:pStyle w:val="Normal"/>
        <w:jc w:val="center"/>
        <w:rPr>
          <w:color w:themeColor="text1" w:val="000000"/>
          <w:sz w:val="24"/>
          <w:szCs w:val="24"/>
        </w:rPr>
      </w:pPr>
      <w:r>
        <w:rPr>
          <w:color w:themeColor="text1" w:val="000000"/>
          <w:sz w:val="24"/>
          <w:szCs w:val="24"/>
        </w:rPr>
        <w:t>BẢNG KÊ CHI PHÍ KHÁM SỨC KHOẺ ĐỊNH KỲ, KIỂM TRA SỨC KHỎE ĐẦU NĂM HỌC</w:t>
      </w:r>
    </w:p>
    <w:p>
      <w:pPr>
        <w:pStyle w:val="Normal"/>
        <w:jc w:val="center"/>
        <w:rPr>
          <w:color w:themeColor="text1" w:val="000000"/>
          <w:sz w:val="24"/>
          <w:szCs w:val="24"/>
        </w:rPr>
      </w:pPr>
      <w:r>
        <w:rPr>
          <w:color w:themeColor="text1" w:val="000000"/>
          <w:sz w:val="24"/>
          <w:szCs w:val="24"/>
        </w:rPr>
        <w:t>DO QUỸ BẢO HIỂM Y TẾ CHI TRẢ</w:t>
      </w:r>
    </w:p>
    <w:p>
      <w:pPr>
        <w:pStyle w:val="Normal"/>
        <w:jc w:val="center"/>
        <w:rPr>
          <w:color w:themeColor="text1" w:val="000000"/>
          <w:sz w:val="26"/>
          <w:szCs w:val="26"/>
        </w:rPr>
      </w:pPr>
      <w:r>
        <w:rPr>
          <w:i/>
          <w:iCs/>
          <w:color w:themeColor="text1" w:val="000000"/>
        </w:rPr>
        <w:t>(Ban hành kèm theo Thông tư số     /2026/TT-BYT ngày      tháng    năm 2026 của Bộ trưởng Bộ Y tế)</w:t>
      </w:r>
    </w:p>
    <w:p>
      <w:pPr>
        <w:pStyle w:val="Normal"/>
        <w:spacing w:lineRule="auto" w:line="276"/>
        <w:jc w:val="center"/>
        <w:rPr>
          <w:b/>
        </w:rPr>
      </w:pPr>
      <w:bookmarkStart w:id="12" w:name="loai_pl"/>
      <w:r>
        <w:rPr>
          <w:b/>
        </w:rPr>
        <w:t>PHỤ LỤC 4</w:t>
      </w:r>
    </w:p>
    <w:p>
      <w:pPr>
        <w:pStyle w:val="Normal"/>
        <w:spacing w:lineRule="auto" w:line="276"/>
        <w:jc w:val="center"/>
        <w:rPr>
          <w:b/>
        </w:rPr>
      </w:pPr>
      <w:r>
        <w:rPr>
          <w:b/>
        </w:rPr>
        <w:t>MẪU BẢNG KÊ CHI PHÍ KHÁM SỨC KHỎE ĐỊNH KỲ</w:t>
      </w:r>
    </w:p>
    <w:p>
      <w:pPr>
        <w:pStyle w:val="Normal"/>
        <w:spacing w:lineRule="auto" w:line="276"/>
        <w:jc w:val="center"/>
        <w:rPr>
          <w:b/>
        </w:rPr>
      </w:pPr>
      <w:r>
        <w:rPr>
          <w:b/>
        </w:rPr>
        <w:t>DO QUỸ BẢO HIỂM Y TẾ CHI TRẢ</w:t>
      </w:r>
      <w:bookmarkEnd w:id="12"/>
    </w:p>
    <w:p>
      <w:pPr>
        <w:pStyle w:val="Normal"/>
        <w:spacing w:lineRule="auto" w:line="276"/>
        <w:jc w:val="center"/>
        <w:rPr>
          <w:i/>
        </w:rPr>
      </w:pPr>
      <w:r>
        <w:rPr>
          <w:i/>
        </w:rPr>
        <w:t>(Ban hành kèm theo Thông tư số       /2026/TT-BYT ngày      tháng     năm 2026 của Bộ trưởng Bộ Y tế)</w:t>
      </w:r>
    </w:p>
    <w:tbl>
      <w:tblPr>
        <w:tblW w:w="14925"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11338"/>
        <w:gridCol w:w="3587"/>
      </w:tblGrid>
      <w:tr>
        <w:trPr>
          <w:trHeight w:val="1225" w:hRule="atLeast"/>
        </w:trPr>
        <w:tc>
          <w:tcPr>
            <w:tcW w:w="11338" w:type="dxa"/>
            <w:tcBorders/>
          </w:tcPr>
          <w:p>
            <w:pPr>
              <w:pStyle w:val="Normal"/>
              <w:rPr>
                <w:b/>
                <w:sz w:val="20"/>
              </w:rPr>
            </w:pPr>
            <w:r>
              <w:rPr>
                <w:b/>
                <w:sz w:val="20"/>
              </w:rPr>
            </w:r>
          </w:p>
          <w:p>
            <w:pPr>
              <w:pStyle w:val="Normal"/>
              <w:rPr>
                <w:b/>
                <w:sz w:val="20"/>
              </w:rPr>
            </w:pPr>
            <w:r>
              <w:rPr>
                <w:b/>
                <w:sz w:val="20"/>
              </w:rPr>
              <w:t>Cơ quan chủ quản: ……….…………………</w:t>
              <w:br/>
              <w:t>Cơ sở khám, chữa bệnh: …………………....</w:t>
              <w:br/>
            </w:r>
          </w:p>
          <w:p>
            <w:pPr>
              <w:pStyle w:val="Normal"/>
              <w:rPr>
                <w:b/>
                <w:sz w:val="20"/>
              </w:rPr>
            </w:pPr>
            <w:r>
              <w:rPr>
                <w:b/>
                <w:sz w:val="20"/>
              </w:rPr>
            </w:r>
          </w:p>
        </w:tc>
        <w:tc>
          <w:tcPr>
            <w:tcW w:w="3587" w:type="dxa"/>
            <w:tcBorders/>
          </w:tcPr>
          <w:p>
            <w:pPr>
              <w:pStyle w:val="Normal"/>
              <w:ind w:hanging="34" w:left="34"/>
              <w:rPr>
                <w:b/>
                <w:sz w:val="20"/>
              </w:rPr>
            </w:pPr>
            <w:r>
              <w:rPr>
                <w:b/>
                <w:sz w:val="20"/>
              </w:rPr>
            </w:r>
          </w:p>
          <w:p>
            <w:pPr>
              <w:pStyle w:val="Normal"/>
              <w:ind w:hanging="34" w:left="34"/>
              <w:rPr>
                <w:b/>
                <w:sz w:val="20"/>
              </w:rPr>
            </w:pPr>
            <w:r>
              <w:rPr>
                <w:b/>
                <w:sz w:val="20"/>
              </w:rPr>
              <w:t>Mẫu số: 01/KSK</w:t>
              <w:br/>
              <w:t>Mã số người được khám:</w:t>
            </w:r>
          </w:p>
          <w:p>
            <w:pPr>
              <w:pStyle w:val="Normal"/>
              <w:ind w:hanging="34" w:left="34"/>
              <w:rPr>
                <w:b/>
                <w:sz w:val="20"/>
              </w:rPr>
            </w:pPr>
            <w:r>
              <w:rPr>
                <w:b/>
                <w:sz w:val="20"/>
              </w:rPr>
              <w:t xml:space="preserve"> </w:t>
            </w:r>
            <w:r>
              <w:rPr>
                <w:b/>
                <w:sz w:val="20"/>
              </w:rPr>
              <w:t>Số khám:</w:t>
              <w:br/>
              <w:t>|| || | ||||||||| ||||||||||| |||</w:t>
            </w:r>
          </w:p>
        </w:tc>
      </w:tr>
    </w:tbl>
    <w:p>
      <w:pPr>
        <w:pStyle w:val="Normal"/>
        <w:spacing w:before="120" w:after="0"/>
        <w:rPr>
          <w:sz w:val="20"/>
        </w:rPr>
      </w:pPr>
      <w:r>
        <w:rPr>
          <w:sz w:val="20"/>
        </w:rPr>
      </w:r>
    </w:p>
    <w:p>
      <w:pPr>
        <w:pStyle w:val="Normal"/>
        <w:spacing w:before="120" w:after="0"/>
        <w:jc w:val="center"/>
        <w:rPr>
          <w:b/>
        </w:rPr>
      </w:pPr>
      <w:bookmarkStart w:id="13" w:name="loai_pl_name"/>
      <w:r>
        <w:rPr>
          <w:b/>
        </w:rPr>
        <w:t xml:space="preserve">                 </w:t>
      </w:r>
      <w:r>
        <w:rPr>
          <w:b/>
        </w:rPr>
        <w:t>BẢNG KÊ CHI PHÍ KHÁM SỨC KHỎE ĐỊNH KỲ</w:t>
      </w:r>
      <w:bookmarkEnd w:id="13"/>
    </w:p>
    <w:p>
      <w:pPr>
        <w:pStyle w:val="Normal"/>
        <w:spacing w:before="120" w:after="0"/>
        <w:rPr>
          <w:b/>
        </w:rPr>
      </w:pPr>
      <w:r>
        <w:rPr>
          <w:b/>
        </w:rPr>
      </w:r>
    </w:p>
    <w:p>
      <w:pPr>
        <w:pStyle w:val="Normal"/>
        <w:spacing w:before="120" w:after="0"/>
        <w:rPr>
          <w:b/>
          <w:sz w:val="20"/>
        </w:rPr>
      </w:pPr>
      <w:r>
        <w:rPr>
          <w:b/>
          <w:sz w:val="20"/>
        </w:rPr>
        <w:t>I. Phần hành chính:</w:t>
      </w:r>
    </w:p>
    <w:p>
      <w:pPr>
        <w:pStyle w:val="Normal"/>
        <w:spacing w:before="120" w:after="0"/>
        <w:rPr>
          <w:sz w:val="20"/>
        </w:rPr>
      </w:pPr>
      <w:r>
        <w:rPr>
          <w:sz w:val="20"/>
        </w:rPr>
        <w:t xml:space="preserve">(1) Họ tên người được khám sức khoẻ: ....... ...........................................................................................................; Ngày, tháng, năm sinh: ….. /…../……..; Giới tính: ……………… </w:t>
      </w:r>
    </w:p>
    <w:p>
      <w:pPr>
        <w:pStyle w:val="Normal"/>
        <w:spacing w:before="120" w:after="0"/>
        <w:rPr>
          <w:sz w:val="20"/>
        </w:rPr>
      </w:pPr>
      <w:r>
        <mc:AlternateContent>
          <mc:Choice Requires="wps">
            <w:drawing>
              <wp:anchor distT="0" distB="18415" distL="0" distR="7620" simplePos="0" relativeHeight="9" behindDoc="0" locked="0" layoutInCell="1" allowOverlap="1" wp14:anchorId="0E8BF5FA">
                <wp:simplePos x="0" y="0"/>
                <wp:positionH relativeFrom="column">
                  <wp:posOffset>7767955</wp:posOffset>
                </wp:positionH>
                <wp:positionV relativeFrom="paragraph">
                  <wp:posOffset>51435</wp:posOffset>
                </wp:positionV>
                <wp:extent cx="398780" cy="210185"/>
                <wp:effectExtent l="5080" t="5715" r="5080" b="4445"/>
                <wp:wrapNone/>
                <wp:docPr id="4" name="Text Box 9"/>
                <a:graphic xmlns:a="http://schemas.openxmlformats.org/drawingml/2006/main">
                  <a:graphicData uri="http://schemas.microsoft.com/office/word/2010/wordprocessingShape">
                    <wps:wsp>
                      <wps:cNvSpPr/>
                      <wps:spPr>
                        <a:xfrm>
                          <a:off x="0" y="0"/>
                          <a:ext cx="398880" cy="21024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rPr/>
                            </w:pPr>
                            <w:r>
                              <w:rPr/>
                              <w:t xml:space="preserve"> </w:t>
                            </w:r>
                          </w:p>
                        </w:txbxContent>
                      </wps:txbx>
                      <wps:bodyPr anchor="t" upright="1">
                        <a:noAutofit/>
                      </wps:bodyPr>
                    </wps:wsp>
                  </a:graphicData>
                </a:graphic>
              </wp:anchor>
            </w:drawing>
          </mc:Choice>
          <mc:Fallback>
            <w:pict>
              <v:rect id="shape_0" fillcolor="white" stroked="t" o:allowincell="f" style="position:absolute;margin-left:611.65pt;margin-top:4.05pt;width:31.35pt;height:16.5pt;mso-wrap-style:square;v-text-anchor:top" wp14:anchorId="0E8BF5FA">
                <v:fill o:detectmouseclick="t" type="solid" color2="black"/>
                <v:stroke color="black" weight="9360" joinstyle="miter" endcap="flat"/>
                <v:textbox>
                  <w:txbxContent>
                    <w:p>
                      <w:pPr>
                        <w:pStyle w:val="FrameContents"/>
                        <w:rPr/>
                      </w:pPr>
                      <w:r>
                        <w:rPr/>
                        <w:t xml:space="preserve"> </w:t>
                      </w:r>
                    </w:p>
                  </w:txbxContent>
                </v:textbox>
                <w10:wrap type="none"/>
              </v:rect>
            </w:pict>
          </mc:Fallback>
        </mc:AlternateContent>
      </w:r>
      <w:r>
        <w:rPr>
          <w:sz w:val="20"/>
        </w:rPr>
        <w:t xml:space="preserve">(2) Địa chỉ hiện tại: ………………………………………………………………………………………….………………; (3) Mã khu vực (K1/K2/K3): </w:t>
      </w:r>
    </w:p>
    <w:p>
      <w:pPr>
        <w:pStyle w:val="Normal"/>
        <w:spacing w:before="120" w:after="0"/>
        <w:rPr>
          <w:sz w:val="20"/>
        </w:rPr>
      </w:pPr>
      <w:r>
        <w:rPr>
          <w:sz w:val="20"/>
        </w:rPr>
        <w:t xml:space="preserve">(4)  Mã thẻ BHYT: ……………………………………………..  Giá trị từ ..../…../ ….. đến …../…../….. </w:t>
      </w:r>
    </w:p>
    <w:p>
      <w:pPr>
        <w:pStyle w:val="Normal"/>
        <w:spacing w:before="120" w:after="0"/>
        <w:rPr>
          <w:sz w:val="20"/>
        </w:rPr>
      </w:pPr>
      <w:r>
        <mc:AlternateContent>
          <mc:Choice Requires="wps">
            <w:drawing>
              <wp:anchor distT="0" distB="12700" distL="0" distR="17145" simplePos="0" relativeHeight="5" behindDoc="0" locked="0" layoutInCell="1" allowOverlap="1" wp14:anchorId="7A012C64">
                <wp:simplePos x="0" y="0"/>
                <wp:positionH relativeFrom="column">
                  <wp:posOffset>8406765</wp:posOffset>
                </wp:positionH>
                <wp:positionV relativeFrom="paragraph">
                  <wp:posOffset>31115</wp:posOffset>
                </wp:positionV>
                <wp:extent cx="757555" cy="215900"/>
                <wp:effectExtent l="5715" t="5080" r="4445" b="5080"/>
                <wp:wrapNone/>
                <wp:docPr id="5" name="Text Box 7"/>
                <a:graphic xmlns:a="http://schemas.openxmlformats.org/drawingml/2006/main">
                  <a:graphicData uri="http://schemas.microsoft.com/office/word/2010/wordprocessingShape">
                    <wps:wsp>
                      <wps:cNvSpPr/>
                      <wps:spPr>
                        <a:xfrm>
                          <a:off x="0" y="0"/>
                          <a:ext cx="757440" cy="2160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rPr/>
                            </w:pPr>
                            <w:r>
                              <w:rPr/>
                              <w:t xml:space="preserve"> </w:t>
                            </w:r>
                          </w:p>
                        </w:txbxContent>
                      </wps:txbx>
                      <wps:bodyPr anchor="t" upright="1">
                        <a:noAutofit/>
                      </wps:bodyPr>
                    </wps:wsp>
                  </a:graphicData>
                </a:graphic>
              </wp:anchor>
            </w:drawing>
          </mc:Choice>
          <mc:Fallback>
            <w:pict>
              <v:rect id="shape_0" fillcolor="white" stroked="t" o:allowincell="f" style="position:absolute;margin-left:661.95pt;margin-top:2.45pt;width:59.6pt;height:16.95pt;mso-wrap-style:square;v-text-anchor:top" wp14:anchorId="7A012C64">
                <v:fill o:detectmouseclick="t" type="solid" color2="black"/>
                <v:stroke color="black" weight="9360" joinstyle="miter" endcap="flat"/>
                <v:textbox>
                  <w:txbxContent>
                    <w:p>
                      <w:pPr>
                        <w:pStyle w:val="FrameContents"/>
                        <w:rPr/>
                      </w:pPr>
                      <w:r>
                        <w:rPr/>
                        <w:t xml:space="preserve"> </w:t>
                      </w:r>
                    </w:p>
                  </w:txbxContent>
                </v:textbox>
                <w10:wrap type="none"/>
              </v:rect>
            </w:pict>
          </mc:Fallback>
        </mc:AlternateContent>
      </w:r>
      <w:r>
        <w:rPr>
          <w:sz w:val="20"/>
        </w:rPr>
        <w:t>(5) Nơi đăng ký KCB BHYT ban đầu: ……………………………………………………………..…………..…………………; (6) Mã cơ sở KCB BHYT ban đầu</w:t>
      </w:r>
    </w:p>
    <w:p>
      <w:pPr>
        <w:pStyle w:val="Normal"/>
        <w:spacing w:before="120" w:after="0"/>
        <w:rPr>
          <w:sz w:val="20"/>
        </w:rPr>
      </w:pPr>
      <w:r>
        <w:rPr>
          <w:sz w:val="20"/>
        </w:rPr>
        <w:t>(7) Đến khám sức khoẻ lúc: ……………. giờ............ phút, ngày …../…..../……...</w:t>
      </w:r>
    </w:p>
    <w:p>
      <w:pPr>
        <w:pStyle w:val="Normal"/>
        <w:spacing w:before="120" w:after="0"/>
        <w:rPr>
          <w:sz w:val="20"/>
        </w:rPr>
      </w:pPr>
      <w:r>
        <w:rPr>
          <w:sz w:val="20"/>
        </w:rPr>
        <w:t xml:space="preserve">(8) Kết thúc khám sức khoẻ lúc: ............... giờ ........... phút, ngày …../..…../ ……..  </w:t>
      </w:r>
      <w:r>
        <w:rPr>
          <w:i/>
          <w:sz w:val="20"/>
        </w:rPr>
        <w:tab/>
        <w:tab/>
        <w:t xml:space="preserve">   </w:t>
        <w:tab/>
        <w:tab/>
      </w:r>
    </w:p>
    <w:p>
      <w:pPr>
        <w:pStyle w:val="Normal"/>
        <w:spacing w:before="120" w:after="0"/>
        <w:rPr>
          <w:sz w:val="20"/>
        </w:rPr>
      </w:pPr>
      <w:r>
        <mc:AlternateContent>
          <mc:Choice Requires="wps">
            <w:drawing>
              <wp:anchor distT="0" distB="9525" distL="0" distR="10795" simplePos="0" relativeHeight="11" behindDoc="0" locked="0" layoutInCell="1" allowOverlap="1" wp14:anchorId="14DC909B">
                <wp:simplePos x="0" y="0"/>
                <wp:positionH relativeFrom="column">
                  <wp:posOffset>3208020</wp:posOffset>
                </wp:positionH>
                <wp:positionV relativeFrom="paragraph">
                  <wp:posOffset>43815</wp:posOffset>
                </wp:positionV>
                <wp:extent cx="370205" cy="219075"/>
                <wp:effectExtent l="3810" t="3810" r="2540" b="2540"/>
                <wp:wrapNone/>
                <wp:docPr id="6" name="Text Box 1"/>
                <a:graphic xmlns:a="http://schemas.openxmlformats.org/drawingml/2006/main">
                  <a:graphicData uri="http://schemas.microsoft.com/office/word/2010/wordprocessingShape">
                    <wps:wsp>
                      <wps:cNvSpPr/>
                      <wps:spPr>
                        <a:xfrm>
                          <a:off x="0" y="0"/>
                          <a:ext cx="370080" cy="21924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rPr>
                                <w:sz w:val="20"/>
                                <w:szCs w:val="20"/>
                              </w:rPr>
                            </w:pPr>
                            <w:r>
                              <w:rPr>
                                <w:sz w:val="20"/>
                                <w:szCs w:val="20"/>
                              </w:rPr>
                              <w:t>15</w:t>
                            </w:r>
                          </w:p>
                        </w:txbxContent>
                      </wps:txbx>
                      <wps:bodyPr anchor="t">
                        <a:prstTxWarp prst="textNoShape"/>
                        <a:noAutofit/>
                      </wps:bodyPr>
                    </wps:wsp>
                  </a:graphicData>
                </a:graphic>
              </wp:anchor>
            </w:drawing>
          </mc:Choice>
          <mc:Fallback>
            <w:pict>
              <v:rect id="shape_0" fillcolor="white" stroked="t" o:allowincell="f" style="position:absolute;margin-left:252.6pt;margin-top:3.45pt;width:29.1pt;height:17.2pt;mso-wrap-style:square;v-text-anchor:top" wp14:anchorId="14DC909B">
                <v:fill o:detectmouseclick="t" type="solid" color2="black"/>
                <v:stroke color="black" weight="6480" joinstyle="round" endcap="flat"/>
                <v:textbox>
                  <w:txbxContent>
                    <w:p>
                      <w:pPr>
                        <w:pStyle w:val="FrameContents"/>
                        <w:rPr>
                          <w:sz w:val="20"/>
                          <w:szCs w:val="20"/>
                        </w:rPr>
                      </w:pPr>
                      <w:r>
                        <w:rPr>
                          <w:sz w:val="20"/>
                          <w:szCs w:val="20"/>
                        </w:rPr>
                        <w:t>15</w:t>
                      </w:r>
                    </w:p>
                  </w:txbxContent>
                </v:textbox>
                <w10:wrap type="none"/>
              </v:rect>
            </w:pict>
          </mc:Fallback>
        </mc:AlternateContent>
      </w:r>
      <w:r>
        <w:rPr>
          <w:sz w:val="20"/>
        </w:rPr>
        <w:t xml:space="preserve">(9) Mã loại hình khám bệnh, chữa bệnh (MA_LOAI_KCB)              </w:t>
      </w:r>
    </w:p>
    <w:p>
      <w:pPr>
        <w:pStyle w:val="Normal"/>
        <w:spacing w:before="120" w:after="0"/>
        <w:rPr>
          <w:sz w:val="20"/>
        </w:rPr>
      </w:pPr>
      <w:r>
        <mc:AlternateContent>
          <mc:Choice Requires="wps">
            <w:drawing>
              <wp:anchor distT="0" distB="17780" distL="0" distR="9525" simplePos="0" relativeHeight="7" behindDoc="0" locked="0" layoutInCell="1" allowOverlap="1" wp14:anchorId="762A9F6F">
                <wp:simplePos x="0" y="0"/>
                <wp:positionH relativeFrom="column">
                  <wp:posOffset>7047865</wp:posOffset>
                </wp:positionH>
                <wp:positionV relativeFrom="paragraph">
                  <wp:posOffset>33020</wp:posOffset>
                </wp:positionV>
                <wp:extent cx="2073910" cy="223520"/>
                <wp:effectExtent l="5080" t="5080" r="5080" b="5080"/>
                <wp:wrapNone/>
                <wp:docPr id="7" name="Text Box 5"/>
                <a:graphic xmlns:a="http://schemas.openxmlformats.org/drawingml/2006/main">
                  <a:graphicData uri="http://schemas.microsoft.com/office/word/2010/wordprocessingShape">
                    <wps:wsp>
                      <wps:cNvSpPr/>
                      <wps:spPr>
                        <a:xfrm>
                          <a:off x="0" y="0"/>
                          <a:ext cx="2073960" cy="2235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rPr/>
                            </w:pPr>
                            <w:r>
                              <w:rPr/>
                              <w:t xml:space="preserve"> </w:t>
                            </w:r>
                          </w:p>
                        </w:txbxContent>
                      </wps:txbx>
                      <wps:bodyPr anchor="t" upright="1">
                        <a:noAutofit/>
                      </wps:bodyPr>
                    </wps:wsp>
                  </a:graphicData>
                </a:graphic>
              </wp:anchor>
            </w:drawing>
          </mc:Choice>
          <mc:Fallback>
            <w:pict>
              <v:rect id="shape_0" fillcolor="white" stroked="t" o:allowincell="f" style="position:absolute;margin-left:554.95pt;margin-top:2.6pt;width:163.25pt;height:17.55pt;mso-wrap-style:square;v-text-anchor:top" wp14:anchorId="762A9F6F">
                <v:fill o:detectmouseclick="t" type="solid" color2="black"/>
                <v:stroke color="black" weight="9360" joinstyle="miter" endcap="flat"/>
                <v:textbox>
                  <w:txbxContent>
                    <w:p>
                      <w:pPr>
                        <w:pStyle w:val="FrameContents"/>
                        <w:rPr/>
                      </w:pPr>
                      <w:r>
                        <w:rPr/>
                        <w:t xml:space="preserve"> </w:t>
                      </w:r>
                    </w:p>
                  </w:txbxContent>
                </v:textbox>
                <w10:wrap type="none"/>
              </v:rect>
            </w:pict>
          </mc:Fallback>
        </mc:AlternateContent>
      </w:r>
      <w:r>
        <w:rPr>
          <w:sz w:val="20"/>
        </w:rPr>
        <w:t>(10) Chẩn đoán mắc bệnh sau khám sức khoẻ (nếu có): …………………………..................................................................; (11) Mã bệnh</w:t>
      </w:r>
    </w:p>
    <w:p>
      <w:pPr>
        <w:pStyle w:val="Normal"/>
        <w:spacing w:before="120" w:after="120"/>
        <w:rPr>
          <w:sz w:val="20"/>
        </w:rPr>
      </w:pPr>
      <w:r>
        <w:rPr>
          <w:b/>
          <w:sz w:val="20"/>
        </w:rPr>
        <w:t>II. Phần chi phí khám sức khoẻ:</w:t>
      </w:r>
    </w:p>
    <w:tbl>
      <w:tblPr>
        <w:tblW w:w="14879"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1395"/>
        <w:gridCol w:w="851"/>
        <w:gridCol w:w="1204"/>
        <w:gridCol w:w="1226"/>
        <w:gridCol w:w="1272"/>
        <w:gridCol w:w="1277"/>
        <w:gridCol w:w="992"/>
        <w:gridCol w:w="1701"/>
        <w:gridCol w:w="1701"/>
        <w:gridCol w:w="1416"/>
        <w:gridCol w:w="1844"/>
      </w:tblGrid>
      <w:tr>
        <w:trPr/>
        <w:tc>
          <w:tcPr>
            <w:tcW w:w="139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Nội dung</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Đơn vị tính</w:t>
            </w:r>
          </w:p>
        </w:tc>
        <w:tc>
          <w:tcPr>
            <w:tcW w:w="120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Số lượng</w:t>
            </w:r>
          </w:p>
        </w:tc>
        <w:tc>
          <w:tcPr>
            <w:tcW w:w="122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 xml:space="preserve">Đơn giá BV </w:t>
            </w:r>
            <w:r>
              <w:rPr>
                <w:i/>
                <w:sz w:val="20"/>
              </w:rPr>
              <w:t>(đồng)</w:t>
            </w:r>
          </w:p>
        </w:tc>
        <w:tc>
          <w:tcPr>
            <w:tcW w:w="127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 xml:space="preserve">Đơn giá BH </w:t>
            </w:r>
            <w:r>
              <w:rPr>
                <w:i/>
                <w:sz w:val="20"/>
              </w:rPr>
              <w:t>(đồng)</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b/>
                <w:sz w:val="20"/>
              </w:rPr>
            </w:pPr>
            <w:r>
              <w:rPr>
                <w:b/>
                <w:sz w:val="20"/>
              </w:rPr>
              <w:t>Thành tiền BV</w:t>
            </w:r>
          </w:p>
          <w:p>
            <w:pPr>
              <w:pStyle w:val="Normal"/>
              <w:spacing w:before="60" w:after="60"/>
              <w:jc w:val="center"/>
              <w:rPr>
                <w:b/>
                <w:sz w:val="20"/>
              </w:rPr>
            </w:pPr>
            <w:r>
              <w:rPr>
                <w:i/>
                <w:sz w:val="20"/>
              </w:rPr>
              <w:t>(Đồng)</w:t>
            </w:r>
          </w:p>
        </w:tc>
        <w:tc>
          <w:tcPr>
            <w:tcW w:w="99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Tỷ lệ thanh toán BHYT</w:t>
            </w:r>
          </w:p>
        </w:tc>
        <w:tc>
          <w:tcPr>
            <w:tcW w:w="170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 xml:space="preserve">Thành tiền BH </w:t>
            </w:r>
            <w:r>
              <w:rPr>
                <w:i/>
                <w:sz w:val="20"/>
              </w:rPr>
              <w:t>(đồng)</w:t>
            </w:r>
          </w:p>
        </w:tc>
        <w:tc>
          <w:tcPr>
            <w:tcW w:w="496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 xml:space="preserve">Nguồn thanh toán </w:t>
            </w:r>
            <w:r>
              <w:rPr>
                <w:i/>
                <w:sz w:val="20"/>
              </w:rPr>
              <w:t>(đồng)</w:t>
            </w:r>
          </w:p>
        </w:tc>
      </w:tr>
      <w:tr>
        <w:trPr>
          <w:trHeight w:val="705" w:hRule="atLeast"/>
        </w:trPr>
        <w:tc>
          <w:tcPr>
            <w:tcW w:w="139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120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122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127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1277" w:type="dxa"/>
            <w:vMerge w:val="continue"/>
            <w:tcBorders>
              <w:top w:val="single" w:sz="4" w:space="0" w:color="000000"/>
              <w:left w:val="single" w:sz="4" w:space="0" w:color="000000"/>
              <w:bottom w:val="single" w:sz="4" w:space="0" w:color="000000"/>
              <w:right w:val="single" w:sz="4" w:space="0" w:color="000000"/>
            </w:tcBorders>
          </w:tcPr>
          <w:p>
            <w:pPr>
              <w:pStyle w:val="Normal"/>
              <w:spacing w:before="60" w:after="60"/>
              <w:jc w:val="center"/>
              <w:rPr>
                <w:b/>
                <w:sz w:val="20"/>
              </w:rPr>
            </w:pPr>
            <w:r>
              <w:rPr>
                <w:b/>
                <w:sz w:val="20"/>
              </w:rPr>
            </w:r>
          </w:p>
        </w:tc>
        <w:tc>
          <w:tcPr>
            <w:tcW w:w="99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170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Quỹ BHYT</w:t>
            </w:r>
          </w:p>
        </w:tc>
        <w:tc>
          <w:tcPr>
            <w:tcW w:w="14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Nguồn khác</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b/>
                <w:sz w:val="20"/>
              </w:rPr>
            </w:pPr>
            <w:r>
              <w:rPr>
                <w:b/>
                <w:sz w:val="20"/>
              </w:rPr>
              <w:t xml:space="preserve">Người khám sức khoẻ tự trả </w:t>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(1)</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(2)</w:t>
            </w:r>
          </w:p>
        </w:tc>
        <w:tc>
          <w:tcPr>
            <w:tcW w:w="120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(3)</w:t>
            </w:r>
          </w:p>
        </w:tc>
        <w:tc>
          <w:tcPr>
            <w:tcW w:w="12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(4)</w:t>
            </w:r>
          </w:p>
        </w:tc>
        <w:tc>
          <w:tcPr>
            <w:tcW w:w="12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(5)</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sz w:val="18"/>
                <w:szCs w:val="18"/>
              </w:rPr>
            </w:pPr>
            <w:r>
              <w:rPr>
                <w:sz w:val="18"/>
                <w:szCs w:val="18"/>
              </w:rPr>
              <w:t>(6) = (3) * (4)</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(7)</w:t>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(8) =(3) * (5) * (7)</w:t>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(9) = (8) * (7)</w:t>
            </w:r>
          </w:p>
        </w:tc>
        <w:tc>
          <w:tcPr>
            <w:tcW w:w="14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(10)</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60" w:after="60"/>
              <w:jc w:val="center"/>
              <w:rPr>
                <w:sz w:val="18"/>
                <w:szCs w:val="18"/>
              </w:rPr>
            </w:pPr>
            <w:r>
              <w:rPr>
                <w:sz w:val="18"/>
                <w:szCs w:val="18"/>
              </w:rPr>
              <w:t>(11) = (6) - (9) - (10)</w:t>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1. Khám:</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2. Xét nghiệm:</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3. Chẩn đoán hình ảnh:</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4. Thăm dò chức năng:</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5. Thiết bị y tế (</w:t>
            </w:r>
            <w:r>
              <w:rPr>
                <w:i/>
                <w:sz w:val="20"/>
              </w:rPr>
              <w:t>Thiết bị y tế chưa tính trong giá dịch vụ kỹ thuật hoặc tiền khám)</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6. Dịch vụ khác:</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1395"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0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r>
        <w:trPr/>
        <w:tc>
          <w:tcPr>
            <w:tcW w:w="5948"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t>Cộng:</w:t>
            </w:r>
          </w:p>
        </w:tc>
        <w:tc>
          <w:tcPr>
            <w:tcW w:w="1277"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0"/>
              </w:rPr>
            </w:pPr>
            <w:r>
              <w:rPr>
                <w:b/>
                <w:sz w:val="20"/>
              </w:rPr>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4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60" w:after="60"/>
              <w:rPr>
                <w:b/>
                <w:sz w:val="20"/>
              </w:rPr>
            </w:pPr>
            <w:r>
              <w:rPr>
                <w:b/>
                <w:sz w:val="20"/>
              </w:rPr>
            </w:r>
          </w:p>
        </w:tc>
      </w:tr>
    </w:tbl>
    <w:p>
      <w:pPr>
        <w:pStyle w:val="Normal"/>
        <w:spacing w:before="120" w:after="0"/>
        <w:rPr/>
      </w:pPr>
      <w:r>
        <w:rPr/>
        <w:t xml:space="preserve">Tổng chi phí lần khám sức khoẻ </w:t>
      </w:r>
      <w:r>
        <w:rPr>
          <w:i/>
        </w:rPr>
        <w:t>(làm tròn đến đơn vị đồng)</w:t>
      </w:r>
      <w:r>
        <w:rPr/>
        <w:t xml:space="preserve">:…………………………….…… đồng </w:t>
      </w:r>
    </w:p>
    <w:p>
      <w:pPr>
        <w:pStyle w:val="Normal"/>
        <w:spacing w:before="120" w:after="0"/>
        <w:rPr>
          <w:i/>
        </w:rPr>
      </w:pPr>
      <w:r>
        <w:rPr>
          <w:i/>
        </w:rPr>
        <w:t>(Viết bằng chữ:…..…………….…………………………………………………………………………….………….………….……………)</w:t>
      </w:r>
    </w:p>
    <w:p>
      <w:pPr>
        <w:pStyle w:val="Normal"/>
        <w:spacing w:before="120" w:after="0"/>
        <w:rPr>
          <w:bCs/>
        </w:rPr>
      </w:pPr>
      <w:r>
        <w:rPr>
          <w:bCs/>
        </w:rPr>
        <w:t>Trong đó, số tiền do:</w:t>
      </w:r>
    </w:p>
    <w:p>
      <w:pPr>
        <w:pStyle w:val="Normal"/>
        <w:spacing w:before="120" w:after="0"/>
        <w:rPr/>
      </w:pPr>
      <w:r>
        <w:rPr/>
        <w:t>- Quỹ BHYT thanh toán: ………………………………….……………………………………………….……………………</w:t>
      </w:r>
    </w:p>
    <w:p>
      <w:pPr>
        <w:pStyle w:val="Normal"/>
        <w:spacing w:before="120" w:after="0"/>
        <w:rPr/>
      </w:pPr>
      <w:r>
        <w:rPr/>
        <w:t>- Nguồn khác: ……………………………………………………...……………………………………………………………</w:t>
      </w:r>
    </w:p>
    <w:p>
      <w:pPr>
        <w:pStyle w:val="Normal"/>
        <w:spacing w:before="120" w:after="0"/>
        <w:rPr/>
      </w:pPr>
      <w:r>
        <w:rPr/>
        <w:t>- Người khám sức khoẻ tự trả: ………………………………………………………………………………..………………...</w:t>
      </w:r>
    </w:p>
    <w:tbl>
      <w:tblPr>
        <w:tblW w:w="14879"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4247"/>
        <w:gridCol w:w="6223"/>
        <w:gridCol w:w="4409"/>
      </w:tblGrid>
      <w:tr>
        <w:trPr>
          <w:trHeight w:val="1857" w:hRule="atLeast"/>
        </w:trPr>
        <w:tc>
          <w:tcPr>
            <w:tcW w:w="4247" w:type="dxa"/>
            <w:tcBorders/>
          </w:tcPr>
          <w:p>
            <w:pPr>
              <w:pStyle w:val="Normal"/>
              <w:spacing w:before="120" w:after="0"/>
              <w:jc w:val="center"/>
              <w:rPr>
                <w:b/>
                <w:sz w:val="26"/>
                <w:szCs w:val="26"/>
              </w:rPr>
            </w:pPr>
            <w:r>
              <w:rPr>
                <w:b/>
                <w:sz w:val="26"/>
                <w:szCs w:val="26"/>
              </w:rPr>
            </w:r>
          </w:p>
          <w:p>
            <w:pPr>
              <w:pStyle w:val="Normal"/>
              <w:spacing w:before="120" w:after="0"/>
              <w:jc w:val="center"/>
              <w:rPr>
                <w:sz w:val="26"/>
                <w:szCs w:val="26"/>
              </w:rPr>
            </w:pPr>
            <w:r>
              <w:rPr>
                <w:b/>
                <w:sz w:val="26"/>
                <w:szCs w:val="26"/>
              </w:rPr>
              <w:t>NGƯỜI LẬP BẢNG KÊ</w:t>
            </w:r>
            <w:r>
              <w:rPr>
                <w:sz w:val="26"/>
                <w:szCs w:val="26"/>
              </w:rPr>
              <w:br/>
            </w:r>
            <w:r>
              <w:rPr>
                <w:i/>
                <w:sz w:val="26"/>
                <w:szCs w:val="26"/>
              </w:rPr>
              <w:t>(ký, ghi rõ họ tên)</w:t>
            </w:r>
          </w:p>
        </w:tc>
        <w:tc>
          <w:tcPr>
            <w:tcW w:w="6223" w:type="dxa"/>
            <w:tcBorders/>
          </w:tcPr>
          <w:p>
            <w:pPr>
              <w:pStyle w:val="Normal"/>
              <w:spacing w:before="120" w:after="0"/>
              <w:jc w:val="center"/>
              <w:rPr>
                <w:b/>
                <w:sz w:val="26"/>
                <w:szCs w:val="26"/>
              </w:rPr>
            </w:pPr>
            <w:r>
              <w:rPr>
                <w:b/>
                <w:sz w:val="26"/>
                <w:szCs w:val="26"/>
              </w:rPr>
            </w:r>
          </w:p>
          <w:p>
            <w:pPr>
              <w:pStyle w:val="Normal"/>
              <w:spacing w:before="120" w:after="0"/>
              <w:jc w:val="center"/>
              <w:rPr>
                <w:i/>
                <w:sz w:val="26"/>
                <w:szCs w:val="26"/>
              </w:rPr>
            </w:pPr>
            <w:r>
              <w:rPr>
                <w:b/>
                <w:sz w:val="26"/>
                <w:szCs w:val="26"/>
              </w:rPr>
              <w:t>NGƯỜI ĐƯỢC KHÁM SỨC KHOẺ</w:t>
            </w:r>
            <w:r>
              <w:rPr>
                <w:sz w:val="26"/>
                <w:szCs w:val="26"/>
              </w:rPr>
              <w:br/>
            </w:r>
            <w:r>
              <w:rPr>
                <w:i/>
                <w:sz w:val="26"/>
                <w:szCs w:val="26"/>
              </w:rPr>
              <w:t>(ký, ghi rõ họ tên)</w:t>
            </w:r>
          </w:p>
          <w:p>
            <w:pPr>
              <w:pStyle w:val="Normal"/>
              <w:spacing w:before="120" w:after="0"/>
              <w:jc w:val="center"/>
              <w:rPr>
                <w:sz w:val="26"/>
                <w:szCs w:val="26"/>
              </w:rPr>
            </w:pPr>
            <w:r>
              <w:rPr>
                <w:b/>
                <w:sz w:val="20"/>
              </w:rPr>
              <w:t xml:space="preserve">     </w:t>
            </w:r>
            <w:r>
              <w:rPr>
                <w:b/>
                <w:sz w:val="20"/>
              </w:rPr>
              <w:t>(Tôi đã nhận … phim … Xquang…)</w:t>
            </w:r>
          </w:p>
        </w:tc>
        <w:tc>
          <w:tcPr>
            <w:tcW w:w="4409" w:type="dxa"/>
            <w:tcBorders/>
          </w:tcPr>
          <w:p>
            <w:pPr>
              <w:pStyle w:val="Normal"/>
              <w:spacing w:before="120" w:after="0"/>
              <w:jc w:val="center"/>
              <w:rPr>
                <w:sz w:val="26"/>
                <w:szCs w:val="26"/>
              </w:rPr>
            </w:pPr>
            <w:r>
              <w:rPr>
                <w:i/>
                <w:sz w:val="26"/>
                <w:szCs w:val="26"/>
              </w:rPr>
              <w:t>Ngày.... tháng... năm ...</w:t>
              <w:br/>
            </w:r>
            <w:r>
              <w:rPr>
                <w:b/>
                <w:sz w:val="26"/>
                <w:szCs w:val="26"/>
              </w:rPr>
              <w:t>KẾ TOÁN VIỆN PHÍ</w:t>
            </w:r>
            <w:r>
              <w:rPr>
                <w:sz w:val="26"/>
                <w:szCs w:val="26"/>
              </w:rPr>
              <w:br/>
            </w:r>
            <w:r>
              <w:rPr>
                <w:i/>
                <w:sz w:val="26"/>
                <w:szCs w:val="26"/>
              </w:rPr>
              <w:t>(ký, ghi rõ họ tên)</w:t>
            </w:r>
          </w:p>
          <w:p>
            <w:pPr>
              <w:pStyle w:val="Normal"/>
              <w:spacing w:before="120" w:after="0"/>
              <w:jc w:val="center"/>
              <w:rPr>
                <w:i/>
                <w:sz w:val="26"/>
                <w:szCs w:val="26"/>
              </w:rPr>
            </w:pPr>
            <w:r>
              <w:rPr>
                <w:i/>
                <w:sz w:val="26"/>
                <w:szCs w:val="26"/>
              </w:rPr>
            </w:r>
          </w:p>
        </w:tc>
      </w:tr>
    </w:tbl>
    <w:p>
      <w:pPr>
        <w:pStyle w:val="Normal"/>
        <w:spacing w:before="120" w:after="0"/>
        <w:rPr>
          <w:b/>
          <w:sz w:val="20"/>
        </w:rPr>
      </w:pPr>
      <w:r>
        <w:rPr>
          <w:b/>
          <w:sz w:val="20"/>
        </w:rPr>
        <w:t xml:space="preserve">                                </w:t>
      </w:r>
    </w:p>
    <w:p>
      <w:pPr>
        <w:pStyle w:val="Normal"/>
        <w:spacing w:before="120" w:after="0"/>
        <w:rPr/>
      </w:pPr>
      <w:r>
        <w:rPr>
          <w:b/>
          <w:i/>
          <w:u w:val="single"/>
        </w:rPr>
        <w:t>Ghi chú:</w:t>
      </w:r>
      <w:r>
        <w:rPr/>
        <w:t xml:space="preserve"> </w:t>
      </w:r>
    </w:p>
    <w:p>
      <w:pPr>
        <w:pStyle w:val="Normal"/>
        <w:spacing w:before="120" w:after="0"/>
        <w:jc w:val="both"/>
        <w:rPr/>
      </w:pPr>
      <w:r>
        <w:rPr/>
        <w:t xml:space="preserve">   </w:t>
      </w:r>
      <w:r>
        <w:rPr/>
        <w:t xml:space="preserve">- Trường hợp khám sức khoẻ tại Trạm y tế tuyến xã hoặc cơ sở khám bệnh, chữa bệnh chưa có kế toán viện phí thì thay thế chữ ký, họ tên của Kế toán viện phí bằng chữ ký, họ tên của người phụ trách đơn vị. </w:t>
      </w:r>
    </w:p>
    <w:p>
      <w:pPr>
        <w:pStyle w:val="Normal"/>
        <w:spacing w:before="120" w:after="0"/>
        <w:jc w:val="both"/>
        <w:rPr>
          <w:color w:val="FF0000"/>
        </w:rPr>
      </w:pPr>
      <w:r>
        <w:rPr/>
        <w:t xml:space="preserve">   </w:t>
      </w:r>
      <w:r>
        <w:rPr/>
        <w:t>- Trường hợp khi khám sức khoẻ, người được khám có nhận phim chụp (Xquang,…) thì người được khám ghi số lượng từng loại phim đã nhận vào ô “Người được khám sức khoẻ” và ký xác nhận, ghi rõ họ tên. Trường hợp cơ sở KBCB giữ lại phim để phục vụ công tác nghiên cứu khoa học, đào tạo… thì phải tổng hợp và thông báo để cơ quan bảo hiểm xã hội biết.</w:t>
      </w:r>
      <w:r>
        <w:rPr>
          <w:spacing w:val="-4"/>
        </w:rPr>
        <w:t xml:space="preserve"> Quy định này không áp dụng đối với các cơ sở KBCB đã triển khai hệ thống PACS hoặc đã triển khai bệnh án điện tử.</w:t>
      </w:r>
    </w:p>
    <w:p>
      <w:pPr>
        <w:pStyle w:val="Normal"/>
        <w:spacing w:before="120" w:after="0"/>
        <w:jc w:val="both"/>
        <w:rPr/>
      </w:pPr>
      <w:r>
        <w:rPr/>
        <w:t xml:space="preserve">   </w:t>
      </w:r>
      <w:r>
        <w:rPr/>
        <w:t>- Trường hợp phần ký xác nhận chuyển sang trang khác thì cơ sở KBCB có trách nhiệm căn chỉnh mẫu bảng kê để đảm bảo chữ ký gắn với nội dung bảng kê./.</w:t>
      </w:r>
    </w:p>
    <w:p>
      <w:pPr>
        <w:pStyle w:val="Normal"/>
        <w:jc w:val="both"/>
        <w:rPr>
          <w:i/>
          <w:iCs/>
          <w:color w:themeColor="text1" w:val="000000"/>
        </w:rPr>
      </w:pPr>
      <w:r>
        <w:rPr>
          <w:i/>
          <w:iCs/>
          <w:color w:themeColor="text1" w:val="000000"/>
        </w:rPr>
      </w:r>
    </w:p>
    <w:p>
      <w:pPr>
        <w:pStyle w:val="Normal"/>
        <w:spacing w:before="0" w:after="0"/>
        <w:jc w:val="both"/>
        <w:rPr>
          <w:i/>
          <w:iCs/>
          <w:color w:themeColor="text1" w:val="000000"/>
        </w:rPr>
        <w:sectPr>
          <w:headerReference w:type="default" r:id="rId5"/>
          <w:headerReference w:type="first" r:id="rId6"/>
          <w:type w:val="nextPage"/>
          <w:pgSz w:orient="landscape" w:w="16838" w:h="11906"/>
          <w:pgMar w:left="1134" w:right="1134" w:gutter="0" w:header="720" w:top="1701" w:footer="0" w:bottom="1134"/>
          <w:pgNumType w:fmt="decimal"/>
          <w:formProt w:val="false"/>
          <w:titlePg/>
          <w:textDirection w:val="lrTb"/>
          <w:docGrid w:type="default" w:linePitch="381" w:charSpace="0"/>
        </w:sectPr>
      </w:pPr>
      <w:r>
        <w:rPr>
          <w:i/>
          <w:iCs/>
          <w:color w:themeColor="text1" w:val="000000"/>
        </w:rPr>
      </w:r>
    </w:p>
    <w:p>
      <w:pPr>
        <w:pStyle w:val="Normal"/>
        <w:jc w:val="center"/>
        <w:rPr>
          <w:b/>
          <w:sz w:val="26"/>
          <w:szCs w:val="26"/>
          <w:lang w:val="vi-VN"/>
        </w:rPr>
      </w:pPr>
      <w:r>
        <w:rPr>
          <w:b/>
          <w:sz w:val="26"/>
          <w:szCs w:val="26"/>
        </w:rPr>
        <w:t>HƯỚNG DẪN</w:t>
      </w:r>
      <w:r>
        <w:rPr>
          <w:b/>
          <w:sz w:val="26"/>
          <w:szCs w:val="26"/>
          <w:lang w:val="vi-VN"/>
        </w:rPr>
        <w:t xml:space="preserve"> KỸ THUẬT</w:t>
      </w:r>
      <w:r>
        <w:rPr>
          <w:b/>
          <w:sz w:val="26"/>
          <w:szCs w:val="26"/>
        </w:rPr>
        <w:t xml:space="preserve"> </w:t>
      </w:r>
    </w:p>
    <w:p>
      <w:pPr>
        <w:pStyle w:val="Normal"/>
        <w:jc w:val="center"/>
        <w:rPr>
          <w:b/>
          <w:sz w:val="26"/>
          <w:szCs w:val="26"/>
          <w:lang w:val="vi-VN"/>
        </w:rPr>
      </w:pPr>
      <w:r>
        <w:rPr>
          <w:b/>
          <w:sz w:val="26"/>
          <w:szCs w:val="26"/>
        </w:rPr>
        <w:t>GHI BẢNG KÊ CHI PHÍ KHÁM</w:t>
      </w:r>
      <w:r>
        <w:rPr>
          <w:b/>
          <w:sz w:val="26"/>
          <w:szCs w:val="26"/>
          <w:lang w:val="vi-VN"/>
        </w:rPr>
        <w:t xml:space="preserve"> SỨC KHỎE ĐỊNH KỲ</w:t>
      </w:r>
    </w:p>
    <w:p>
      <w:pPr>
        <w:pStyle w:val="Normal"/>
        <w:spacing w:lineRule="auto" w:line="276"/>
        <w:jc w:val="center"/>
        <w:rPr>
          <w:i/>
        </w:rPr>
      </w:pPr>
      <w:r>
        <w:rPr>
          <w:i/>
        </w:rPr>
        <w:t>(Ban hành kèm theo Thông tư số       /2026/TT-BYT ngày      tháng     năm 2026 của Bộ trưởng Bộ Y tế)</w:t>
      </w:r>
    </w:p>
    <w:p>
      <w:pPr>
        <w:pStyle w:val="Normal"/>
        <w:spacing w:lineRule="auto" w:line="247" w:before="60" w:after="0"/>
        <w:rPr/>
      </w:pPr>
      <w:r>
        <w:rPr/>
      </w:r>
    </w:p>
    <w:p>
      <w:pPr>
        <w:pStyle w:val="Normal"/>
        <w:spacing w:lineRule="auto" w:line="262" w:before="60" w:after="0"/>
        <w:jc w:val="both"/>
        <w:rPr>
          <w:b/>
        </w:rPr>
      </w:pPr>
      <w:r>
        <w:rPr>
          <w:b/>
        </w:rPr>
        <w:t xml:space="preserve">Phần </w:t>
      </w:r>
      <w:r>
        <w:rPr>
          <w:b/>
          <w:lang w:val="vi-VN"/>
        </w:rPr>
        <w:t>1</w:t>
      </w:r>
      <w:r>
        <w:rPr>
          <w:b/>
        </w:rPr>
        <w:t>: Hướng dẫn cách ghi Bảng kê chi phí khám sức</w:t>
      </w:r>
      <w:r>
        <w:rPr>
          <w:b/>
          <w:lang w:val="vi-VN"/>
        </w:rPr>
        <w:t xml:space="preserve"> khoẻ (KSK)</w:t>
      </w:r>
      <w:r>
        <w:rPr>
          <w:b/>
        </w:rPr>
        <w:t xml:space="preserve"> định</w:t>
      </w:r>
      <w:r>
        <w:rPr>
          <w:b/>
          <w:lang w:val="vi-VN"/>
        </w:rPr>
        <w:t xml:space="preserve"> kỳ</w:t>
      </w:r>
      <w:r>
        <w:rPr>
          <w:b/>
        </w:rPr>
        <w:t xml:space="preserve"> đối với người tham gia bảo hiểm y tế (BHYT)</w:t>
      </w:r>
    </w:p>
    <w:p>
      <w:pPr>
        <w:pStyle w:val="Normal"/>
        <w:spacing w:lineRule="auto" w:line="262" w:before="60" w:after="0"/>
        <w:ind w:firstLine="567"/>
        <w:jc w:val="both"/>
        <w:rPr>
          <w:b/>
          <w:lang w:val="vi-VN"/>
        </w:rPr>
      </w:pPr>
      <w:r>
        <w:rPr>
          <w:b/>
        </w:rPr>
        <w:t>I. Hướng</w:t>
      </w:r>
      <w:r>
        <w:rPr>
          <w:b/>
          <w:lang w:val="vi-VN"/>
        </w:rPr>
        <w:t xml:space="preserve"> dẫn chung</w:t>
      </w:r>
    </w:p>
    <w:p>
      <w:pPr>
        <w:pStyle w:val="Normal"/>
        <w:tabs>
          <w:tab w:val="clear" w:pos="720"/>
          <w:tab w:val="left" w:pos="567" w:leader="none"/>
        </w:tabs>
        <w:spacing w:lineRule="auto" w:line="262" w:before="60" w:after="0"/>
        <w:jc w:val="both"/>
        <w:rPr>
          <w:b/>
        </w:rPr>
      </w:pPr>
      <w:r>
        <w:rPr/>
        <w:tab/>
        <w:t xml:space="preserve">Các cơ sở khám bệnh, chữa bệnh </w:t>
      </w:r>
      <w:r>
        <w:rPr>
          <w:lang w:val="vi-VN"/>
        </w:rPr>
        <w:t xml:space="preserve">(KBCB) </w:t>
      </w:r>
      <w:r>
        <w:rPr/>
        <w:t>chỉ kê những mục có phát sinh chi phí và giữ nguyên số thứ tự mã Mục quy định trong Mẫu bảng kê chi phí KSK</w:t>
      </w:r>
      <w:r>
        <w:rPr>
          <w:lang w:val="vi-VN"/>
        </w:rPr>
        <w:t xml:space="preserve"> định kỳ được quy định tại Phụ lục 3 ban hành kèm theo Thông tư này,</w:t>
      </w:r>
      <w:r>
        <w:rPr/>
        <w:t xml:space="preserve"> cụ</w:t>
      </w:r>
      <w:r>
        <w:rPr>
          <w:lang w:val="vi-VN"/>
        </w:rPr>
        <w:t xml:space="preserve"> thể</w:t>
      </w:r>
      <w:r>
        <w:rPr/>
        <w:t xml:space="preserve"> thực hiện như sau: </w:t>
      </w:r>
    </w:p>
    <w:p>
      <w:pPr>
        <w:pStyle w:val="Normal"/>
        <w:tabs>
          <w:tab w:val="clear" w:pos="720"/>
          <w:tab w:val="left" w:pos="567" w:leader="none"/>
        </w:tabs>
        <w:spacing w:lineRule="auto" w:line="262" w:before="60" w:after="0"/>
        <w:jc w:val="both"/>
        <w:rPr/>
      </w:pPr>
      <w:r>
        <w:rPr/>
        <w:tab/>
        <w:t>- Mã mục là các mục quy định tại Phần II (Phần Chi phí KSK) của bảng kê, được đánh số thứ tự từ 1 đến hết.</w:t>
      </w:r>
    </w:p>
    <w:p>
      <w:pPr>
        <w:pStyle w:val="Normal"/>
        <w:tabs>
          <w:tab w:val="clear" w:pos="720"/>
          <w:tab w:val="left" w:pos="851" w:leader="none"/>
        </w:tabs>
        <w:spacing w:lineRule="auto" w:line="262" w:before="60" w:after="0"/>
        <w:jc w:val="both"/>
        <w:rPr/>
      </w:pPr>
      <w:r>
        <w:rPr>
          <w:i/>
        </w:rPr>
        <w:t xml:space="preserve">        </w:t>
      </w:r>
      <w:r>
        <w:rPr>
          <w:b/>
          <w:i/>
        </w:rPr>
        <w:t>Ví dụ:</w:t>
      </w:r>
      <w:r>
        <w:rPr/>
        <w:t xml:space="preserve"> Mã mục 1: Khám bệnh; Mã mục </w:t>
      </w:r>
      <w:r>
        <w:rPr>
          <w:lang w:val="vi-VN"/>
        </w:rPr>
        <w:t>2</w:t>
      </w:r>
      <w:r>
        <w:rPr/>
        <w:t>: Xét nghiệm,</w:t>
      </w:r>
      <w:r>
        <w:rPr>
          <w:lang w:val="vi-VN"/>
        </w:rPr>
        <w:t xml:space="preserve"> </w:t>
      </w:r>
      <w:r>
        <w:rPr/>
        <w:t>…;</w:t>
      </w:r>
    </w:p>
    <w:p>
      <w:pPr>
        <w:pStyle w:val="Normal"/>
        <w:tabs>
          <w:tab w:val="clear" w:pos="720"/>
          <w:tab w:val="left" w:pos="567" w:leader="none"/>
        </w:tabs>
        <w:spacing w:lineRule="auto" w:line="262" w:before="60" w:after="0"/>
        <w:jc w:val="both"/>
        <w:rPr/>
      </w:pPr>
      <w:r>
        <w:rPr>
          <w:i/>
        </w:rPr>
        <w:tab/>
        <w:t>-</w:t>
      </w:r>
      <w:r>
        <w:rPr/>
        <w:t xml:space="preserve"> Đối với những mã mục có thực hiện dịch vụ thì kê đầy đủ, theo đúng mã mục trong bảng kê chi phí KSK (không được sửa hoặc thay đổi số thứ tự của mã mục);</w:t>
      </w:r>
    </w:p>
    <w:p>
      <w:pPr>
        <w:pStyle w:val="Normal"/>
        <w:tabs>
          <w:tab w:val="clear" w:pos="720"/>
          <w:tab w:val="left" w:pos="567" w:leader="none"/>
        </w:tabs>
        <w:spacing w:lineRule="auto" w:line="262" w:before="60" w:after="0"/>
        <w:jc w:val="both"/>
        <w:rPr>
          <w:b/>
        </w:rPr>
      </w:pPr>
      <w:r>
        <w:rPr/>
        <w:tab/>
        <w:t>- Đối với những mã mục không thực hiện thì không phải kê và xóa các dòng thuộc mã mục này (bao gồm cả số thứ tự và tên mã mục) trong bảng kê.</w:t>
      </w:r>
    </w:p>
    <w:p>
      <w:pPr>
        <w:pStyle w:val="Normal"/>
        <w:tabs>
          <w:tab w:val="clear" w:pos="720"/>
          <w:tab w:val="left" w:pos="567" w:leader="none"/>
        </w:tabs>
        <w:spacing w:lineRule="auto" w:line="262" w:before="60" w:after="0"/>
        <w:jc w:val="both"/>
        <w:rPr/>
      </w:pPr>
      <w:r>
        <w:rPr>
          <w:i/>
        </w:rPr>
        <w:tab/>
      </w:r>
      <w:r>
        <w:rPr>
          <w:b/>
          <w:i/>
        </w:rPr>
        <w:t>Ví dụ:</w:t>
      </w:r>
      <w:r>
        <w:rPr/>
        <w:t xml:space="preserve"> Ông B đến khám</w:t>
      </w:r>
      <w:r>
        <w:rPr>
          <w:lang w:val="vi-VN"/>
        </w:rPr>
        <w:t xml:space="preserve"> sức khoẻ</w:t>
      </w:r>
      <w:r>
        <w:rPr/>
        <w:t xml:space="preserve"> tại cơ sở y tế A, ông</w:t>
      </w:r>
      <w:r>
        <w:rPr>
          <w:lang w:val="vi-VN"/>
        </w:rPr>
        <w:t xml:space="preserve"> B</w:t>
      </w:r>
      <w:r>
        <w:rPr/>
        <w:t xml:space="preserve"> được cơ sở y tế chỉ định thực hiện dịch vụ khám và xét nghiệm. Cách ghi Bảng kê chi phí</w:t>
      </w:r>
      <w:r>
        <w:rPr>
          <w:lang w:val="vi-VN"/>
        </w:rPr>
        <w:t xml:space="preserve"> KSK</w:t>
      </w:r>
      <w:r>
        <w:rPr/>
        <w:t xml:space="preserve"> được thực hiện như sau: </w:t>
      </w:r>
    </w:p>
    <w:p>
      <w:pPr>
        <w:pStyle w:val="Normal"/>
        <w:tabs>
          <w:tab w:val="clear" w:pos="720"/>
          <w:tab w:val="left" w:pos="567" w:leader="none"/>
        </w:tabs>
        <w:spacing w:lineRule="auto" w:line="262" w:before="60" w:after="0"/>
        <w:jc w:val="both"/>
        <w:rPr/>
      </w:pPr>
      <w:r>
        <w:rPr/>
        <w:tab/>
        <w:t>+ Chỉ kê mã mục “1. Khám” và mã mục “</w:t>
      </w:r>
      <w:r>
        <w:rPr>
          <w:lang w:val="vi-VN"/>
        </w:rPr>
        <w:t>2</w:t>
      </w:r>
      <w:r>
        <w:rPr/>
        <w:t>. Xét nghiệm”;</w:t>
      </w:r>
    </w:p>
    <w:p>
      <w:pPr>
        <w:pStyle w:val="Normal"/>
        <w:tabs>
          <w:tab w:val="clear" w:pos="720"/>
          <w:tab w:val="left" w:pos="567" w:leader="none"/>
        </w:tabs>
        <w:spacing w:lineRule="auto" w:line="262" w:before="60" w:after="0"/>
        <w:jc w:val="both"/>
        <w:rPr>
          <w:spacing w:val="-4"/>
          <w:lang w:val="vi-VN"/>
        </w:rPr>
      </w:pPr>
      <w:r>
        <w:rPr/>
        <w:tab/>
      </w:r>
      <w:r>
        <w:rPr>
          <w:spacing w:val="-4"/>
        </w:rPr>
        <w:t xml:space="preserve">+ Các mã mục từ số </w:t>
      </w:r>
      <w:r>
        <w:rPr>
          <w:spacing w:val="-4"/>
          <w:lang w:val="vi-VN"/>
        </w:rPr>
        <w:t>3</w:t>
      </w:r>
      <w:r>
        <w:rPr>
          <w:spacing w:val="-4"/>
        </w:rPr>
        <w:t xml:space="preserve"> đến số </w:t>
      </w:r>
      <w:r>
        <w:rPr>
          <w:spacing w:val="-4"/>
          <w:lang w:val="vi-VN"/>
        </w:rPr>
        <w:t>6 không thực hiện</w:t>
      </w:r>
      <w:r>
        <w:rPr>
          <w:spacing w:val="-4"/>
        </w:rPr>
        <w:t xml:space="preserve"> thì xóa (không phải thể hiện trên bảng kê)</w:t>
      </w:r>
      <w:r>
        <w:rPr>
          <w:spacing w:val="-4"/>
          <w:lang w:val="vi-VN"/>
        </w:rPr>
        <w:t>.</w:t>
      </w:r>
    </w:p>
    <w:p>
      <w:pPr>
        <w:pStyle w:val="Normal"/>
        <w:tabs>
          <w:tab w:val="clear" w:pos="720"/>
          <w:tab w:val="left" w:pos="567" w:leader="none"/>
        </w:tabs>
        <w:spacing w:lineRule="auto" w:line="262" w:before="60" w:after="0"/>
        <w:jc w:val="both"/>
        <w:rPr>
          <w:b/>
        </w:rPr>
      </w:pPr>
      <w:r>
        <w:rPr>
          <w:b/>
        </w:rPr>
        <w:tab/>
        <w:t>II. Phần tiêu đề</w:t>
      </w:r>
    </w:p>
    <w:p>
      <w:pPr>
        <w:pStyle w:val="Normal"/>
        <w:numPr>
          <w:ilvl w:val="0"/>
          <w:numId w:val="3"/>
        </w:numPr>
        <w:tabs>
          <w:tab w:val="clear" w:pos="720"/>
          <w:tab w:val="left" w:pos="851" w:leader="none"/>
        </w:tabs>
        <w:spacing w:lineRule="auto" w:line="262" w:before="60" w:after="0"/>
        <w:ind w:firstLine="567" w:left="0"/>
        <w:jc w:val="both"/>
        <w:rPr/>
      </w:pPr>
      <w:r>
        <w:rPr/>
        <w:t>“</w:t>
      </w:r>
      <w:r>
        <w:rPr/>
        <w:t>Số khám” ở góc trên bên phải bảng kê ghi tương ứng chỉ tiêu MA_LK trong XML.</w:t>
      </w:r>
    </w:p>
    <w:p>
      <w:pPr>
        <w:pStyle w:val="Normal"/>
        <w:numPr>
          <w:ilvl w:val="0"/>
          <w:numId w:val="3"/>
        </w:numPr>
        <w:tabs>
          <w:tab w:val="clear" w:pos="720"/>
          <w:tab w:val="left" w:pos="851" w:leader="none"/>
        </w:tabs>
        <w:spacing w:lineRule="auto" w:line="262" w:before="60" w:after="0"/>
        <w:ind w:firstLine="567" w:left="0"/>
        <w:jc w:val="both"/>
        <w:rPr/>
      </w:pPr>
      <w:r>
        <w:rPr/>
        <w:t>“</w:t>
      </w:r>
      <w:r>
        <w:rPr/>
        <w:t>Mã số người được</w:t>
      </w:r>
      <w:r>
        <w:rPr>
          <w:lang w:val="vi-VN"/>
        </w:rPr>
        <w:t xml:space="preserve"> khám</w:t>
      </w:r>
      <w:r>
        <w:rPr/>
        <w:t>” ở góc trên bên phải bảng kê ghi tương ứng chỉ tiêu MA_BN trong XML1.</w:t>
      </w:r>
    </w:p>
    <w:p>
      <w:pPr>
        <w:pStyle w:val="Normal"/>
        <w:tabs>
          <w:tab w:val="clear" w:pos="720"/>
          <w:tab w:val="left" w:pos="851" w:leader="none"/>
        </w:tabs>
        <w:spacing w:lineRule="auto" w:line="262" w:before="60" w:after="0"/>
        <w:ind w:left="567"/>
        <w:jc w:val="both"/>
        <w:rPr/>
      </w:pPr>
      <w:r>
        <w:rPr>
          <w:b/>
        </w:rPr>
        <w:t>III. Phần hành chính</w:t>
      </w:r>
    </w:p>
    <w:p>
      <w:pPr>
        <w:pStyle w:val="Normal"/>
        <w:tabs>
          <w:tab w:val="clear" w:pos="720"/>
          <w:tab w:val="left" w:pos="567" w:leader="none"/>
        </w:tabs>
        <w:spacing w:lineRule="auto" w:line="262" w:before="60" w:after="0"/>
        <w:jc w:val="both"/>
        <w:rPr>
          <w:spacing w:val="-2"/>
          <w:lang w:val="vi-VN"/>
        </w:rPr>
      </w:pPr>
      <w:r>
        <w:rPr>
          <w:b/>
        </w:rPr>
        <w:tab/>
      </w:r>
      <w:r>
        <w:rPr>
          <w:spacing w:val="-2"/>
        </w:rPr>
        <w:t xml:space="preserve"> </w:t>
      </w:r>
      <w:r>
        <w:rPr>
          <w:b/>
          <w:spacing w:val="-2"/>
        </w:rPr>
        <w:t xml:space="preserve">Nguyên tắc: </w:t>
      </w:r>
      <w:r>
        <w:rPr>
          <w:spacing w:val="-2"/>
        </w:rPr>
        <w:t xml:space="preserve">Cơ sở KBCB sử dụng thông tin hành chính tra cứu được trên Cổng tiếp nhận dữ liệu của Bảo hiểm xã hội Việt Nam (sau đây gọi tắt là Cổng BHXH) </w:t>
      </w:r>
      <w:r>
        <w:rPr>
          <w:spacing w:val="-2"/>
          <w:lang w:val="vi-VN"/>
        </w:rPr>
        <w:t>hoặc thông tin trên thẻ bảo hiểm y tế</w:t>
      </w:r>
      <w:r>
        <w:rPr>
          <w:spacing w:val="-2"/>
        </w:rPr>
        <w:t xml:space="preserve"> bản giấy</w:t>
      </w:r>
      <w:r>
        <w:rPr>
          <w:spacing w:val="-2"/>
          <w:lang w:val="vi-VN"/>
        </w:rPr>
        <w:t xml:space="preserve"> (áp dụng đối với đối tượng QN, CA, CY </w:t>
      </w:r>
      <w:r>
        <w:rPr>
          <w:spacing w:val="-2"/>
        </w:rPr>
        <w:t>khi tra cứu Cổng BHXH không có thông tin</w:t>
      </w:r>
      <w:r>
        <w:rPr>
          <w:spacing w:val="-2"/>
          <w:lang w:val="vi-VN"/>
        </w:rPr>
        <w:t>)</w:t>
      </w:r>
      <w:r>
        <w:rPr>
          <w:spacing w:val="-2"/>
        </w:rPr>
        <w:t xml:space="preserve"> tại thời điểm tiếp đón người dân đến KSK để lấy thông tin hành chính khi lập bảng kê chi phí KSK.</w:t>
      </w:r>
    </w:p>
    <w:p>
      <w:pPr>
        <w:pStyle w:val="Normal"/>
        <w:jc w:val="both"/>
        <w:rPr>
          <w:lang w:val="vi-VN"/>
        </w:rPr>
      </w:pPr>
      <w:r>
        <w:rPr/>
        <w:tab/>
        <w:t>1. Mục (1) “Giới tính”: Ghi theo quy định tại Quyết định số 3176/QĐ-BYT ngày 29/10/2024 của Bộ trưởng Bộ Y tế sửa đổi, bổ sung Quyết định số 4750/QĐ-BYT ngày 29/12/2023 của Bộ trưởng Bộ Y tế sửa đổi, bổ sung Quyết định số 130/QĐ-BYT ngày 18/01/2023 quy định chuẩn và định dạng dữ liệu đầu ra phục vụ việc quản lý, giám định, thanh toán chi phí khám bệnh, chữa bệnh và giải quyết các chế độ liên quan</w:t>
      </w:r>
      <w:r>
        <w:rPr>
          <w:lang w:val="vi-VN"/>
        </w:rPr>
        <w:t>:</w:t>
      </w:r>
      <w:r>
        <w:rPr/>
        <w:t xml:space="preserve"> Nam: 1; Nữ: 2;</w:t>
      </w:r>
      <w:r>
        <w:rPr>
          <w:spacing w:val="-4"/>
        </w:rPr>
        <w:t xml:space="preserve"> Chưa xác định: 3.</w:t>
      </w:r>
    </w:p>
    <w:p>
      <w:pPr>
        <w:pStyle w:val="Normal"/>
        <w:tabs>
          <w:tab w:val="clear" w:pos="720"/>
          <w:tab w:val="left" w:pos="567" w:leader="none"/>
        </w:tabs>
        <w:spacing w:lineRule="auto" w:line="262" w:before="60" w:after="0"/>
        <w:jc w:val="both"/>
        <w:rPr/>
      </w:pPr>
      <w:r>
        <w:rPr/>
        <w:tab/>
        <w:t>2. Mục (2) “Địa chỉ hiện tại”: Ghi địa chỉ theo chỉ tiêu DIA_CHI trong XML1.</w:t>
      </w:r>
    </w:p>
    <w:p>
      <w:pPr>
        <w:pStyle w:val="Normal"/>
        <w:tabs>
          <w:tab w:val="clear" w:pos="720"/>
          <w:tab w:val="left" w:pos="567" w:leader="none"/>
        </w:tabs>
        <w:spacing w:lineRule="auto" w:line="262" w:before="60" w:after="0"/>
        <w:jc w:val="both"/>
        <w:rPr>
          <w:lang w:val="vi-VN"/>
        </w:rPr>
      </w:pPr>
      <w:r>
        <w:rPr/>
        <w:tab/>
        <w:t xml:space="preserve">3. Mục (4) “Mã thẻ BHYT”: </w:t>
      </w:r>
      <w:r>
        <w:rPr>
          <w:spacing w:val="-2"/>
        </w:rPr>
        <w:t>Cơ sở KBCB thực hiện tra cứu thông tin</w:t>
      </w:r>
      <w:r>
        <w:rPr>
          <w:spacing w:val="-2"/>
          <w:lang w:val="vi-VN"/>
        </w:rPr>
        <w:t xml:space="preserve"> trên Cổng BHXH</w:t>
      </w:r>
      <w:r>
        <w:rPr>
          <w:spacing w:val="-2"/>
        </w:rPr>
        <w:t xml:space="preserve"> để lấy thông tin mã thẻ BHYT tra cứu được tại thời điểm tiếp đón người bệnh đến KBCB khi tra cứu trực tiếp thông qua các hàm giao diện lập trình ứng dụng - API (Application Programming Interface) hoặc tra cứu trực tiếp trên </w:t>
      </w:r>
      <w:r>
        <w:rPr>
          <w:spacing w:val="-2"/>
          <w:lang w:val="vi-VN"/>
        </w:rPr>
        <w:t>C</w:t>
      </w:r>
      <w:r>
        <w:rPr>
          <w:spacing w:val="-2"/>
        </w:rPr>
        <w:t>ổng BHXH.</w:t>
      </w:r>
    </w:p>
    <w:p>
      <w:pPr>
        <w:pStyle w:val="Normal"/>
        <w:tabs>
          <w:tab w:val="clear" w:pos="720"/>
          <w:tab w:val="left" w:pos="567" w:leader="none"/>
        </w:tabs>
        <w:spacing w:lineRule="auto" w:line="262" w:before="60" w:after="0"/>
        <w:jc w:val="both"/>
        <w:rPr>
          <w:lang w:val="vi-VN"/>
        </w:rPr>
      </w:pPr>
      <w:r>
        <w:rPr/>
        <w:tab/>
      </w:r>
      <w:r>
        <w:rPr>
          <w:b/>
        </w:rPr>
        <w:t>IV. Phần chi phí khám sức</w:t>
      </w:r>
      <w:r>
        <w:rPr>
          <w:b/>
          <w:lang w:val="vi-VN"/>
        </w:rPr>
        <w:t xml:space="preserve"> khoẻ</w:t>
      </w:r>
    </w:p>
    <w:p>
      <w:pPr>
        <w:pStyle w:val="Normal"/>
        <w:tabs>
          <w:tab w:val="clear" w:pos="720"/>
          <w:tab w:val="left" w:pos="567" w:leader="none"/>
        </w:tabs>
        <w:spacing w:lineRule="auto" w:line="262" w:before="60" w:after="0"/>
        <w:jc w:val="both"/>
        <w:rPr>
          <w:lang w:val="vi-VN"/>
        </w:rPr>
      </w:pPr>
      <w:r>
        <w:rPr/>
        <w:tab/>
      </w:r>
      <w:r>
        <w:rPr>
          <w:lang w:val="vi-VN"/>
        </w:rPr>
        <w:t xml:space="preserve">1. </w:t>
      </w:r>
      <w:r>
        <w:rPr/>
        <w:t>Tiền sử dụng trong bảng kê chi phí là đồng tiền Việt Nam (đồng).</w:t>
      </w:r>
    </w:p>
    <w:p>
      <w:pPr>
        <w:pStyle w:val="Normal"/>
        <w:tabs>
          <w:tab w:val="clear" w:pos="720"/>
          <w:tab w:val="left" w:pos="567" w:leader="none"/>
        </w:tabs>
        <w:spacing w:lineRule="auto" w:line="242" w:before="60" w:after="0"/>
        <w:jc w:val="both"/>
        <w:rPr/>
      </w:pPr>
      <w:r>
        <w:rPr/>
        <w:tab/>
      </w:r>
      <w:r>
        <w:rPr>
          <w:lang w:val="vi-VN"/>
        </w:rPr>
        <w:t>2</w:t>
      </w:r>
      <w:r>
        <w:rPr/>
        <w:t xml:space="preserve">. Mục </w:t>
      </w:r>
      <w:r>
        <w:rPr>
          <w:i/>
        </w:rPr>
        <w:t>“</w:t>
      </w:r>
      <w:r>
        <w:rPr>
          <w:b/>
          <w:i/>
        </w:rPr>
        <w:t>1.</w:t>
      </w:r>
      <w:r>
        <w:rPr>
          <w:i/>
        </w:rPr>
        <w:t xml:space="preserve"> </w:t>
      </w:r>
      <w:r>
        <w:rPr>
          <w:b/>
          <w:i/>
        </w:rPr>
        <w:t>Khám</w:t>
      </w:r>
      <w:r>
        <w:rPr>
          <w:i/>
        </w:rPr>
        <w:t>”:</w:t>
      </w:r>
    </w:p>
    <w:p>
      <w:pPr>
        <w:pStyle w:val="Normal"/>
        <w:spacing w:lineRule="auto" w:line="242" w:before="60" w:after="0"/>
        <w:ind w:firstLine="567"/>
        <w:jc w:val="both"/>
        <w:rPr>
          <w:lang w:val="vi-VN"/>
        </w:rPr>
      </w:pPr>
      <w:r>
        <w:rPr/>
        <w:t>- Nội dung: Ghi tên dịch</w:t>
      </w:r>
      <w:r>
        <w:rPr>
          <w:lang w:val="vi-VN"/>
        </w:rPr>
        <w:t xml:space="preserve"> vụ khám</w:t>
      </w:r>
      <w:r>
        <w:rPr/>
        <w:t xml:space="preserve"> đã thực hiện theo quy định tại</w:t>
      </w:r>
      <w:r>
        <w:rPr>
          <w:lang w:val="vi-VN"/>
        </w:rPr>
        <w:t xml:space="preserve"> Phụ lục 2 ban hành kèm theo Quyết định số 2010/QĐ-BYT ngày 19/6/2025 của Bộ Y tế ban hành tạm thời một số danh mục mã dùng chung phục vụ việc gửi dữ liệu chi phí KBCB BHYT;</w:t>
      </w:r>
    </w:p>
    <w:p>
      <w:pPr>
        <w:pStyle w:val="Normal"/>
        <w:spacing w:lineRule="auto" w:line="247" w:before="60" w:after="0"/>
        <w:ind w:firstLine="567"/>
        <w:jc w:val="both"/>
        <w:rPr>
          <w:lang w:val="vi-VN"/>
        </w:rPr>
      </w:pPr>
      <w:r>
        <w:rPr>
          <w:lang w:val="vi-VN"/>
        </w:rPr>
        <w:t>- Số lượng: Ghi số lượng lần khám</w:t>
      </w:r>
    </w:p>
    <w:p>
      <w:pPr>
        <w:pStyle w:val="Normal"/>
        <w:spacing w:lineRule="auto" w:line="242" w:before="60" w:after="0"/>
        <w:ind w:firstLine="567"/>
        <w:jc w:val="both"/>
        <w:rPr>
          <w:lang w:val="vi-VN"/>
        </w:rPr>
      </w:pPr>
      <w:r>
        <w:rPr/>
        <w:t xml:space="preserve">- Tỷ lệ thanh toán BHYT: Ghi tỷ lệ </w:t>
      </w:r>
      <w:r>
        <w:rPr>
          <w:spacing w:val="-2"/>
        </w:rPr>
        <w:t>100%</w:t>
      </w:r>
      <w:r>
        <w:rPr>
          <w:spacing w:val="-2"/>
          <w:lang w:val="vi-VN"/>
        </w:rPr>
        <w:t>.</w:t>
      </w:r>
    </w:p>
    <w:p>
      <w:pPr>
        <w:pStyle w:val="Normal"/>
        <w:tabs>
          <w:tab w:val="clear" w:pos="720"/>
          <w:tab w:val="left" w:pos="567" w:leader="none"/>
        </w:tabs>
        <w:spacing w:lineRule="auto" w:line="247" w:before="60" w:after="0"/>
        <w:jc w:val="both"/>
        <w:rPr>
          <w:lang w:val="vi-VN"/>
        </w:rPr>
      </w:pPr>
      <w:r>
        <w:rPr>
          <w:lang w:val="vi-VN"/>
        </w:rPr>
        <w:tab/>
        <w:t>3</w:t>
      </w:r>
      <w:r>
        <w:rPr/>
        <w:t xml:space="preserve">. Các Mục </w:t>
      </w:r>
      <w:r>
        <w:rPr>
          <w:b/>
          <w:i/>
        </w:rPr>
        <w:t>“</w:t>
      </w:r>
      <w:r>
        <w:rPr>
          <w:b/>
          <w:i/>
          <w:lang w:val="vi-VN"/>
        </w:rPr>
        <w:t>2</w:t>
      </w:r>
      <w:r>
        <w:rPr>
          <w:b/>
          <w:i/>
        </w:rPr>
        <w:t>. Xét nghiệm”, “</w:t>
      </w:r>
      <w:r>
        <w:rPr>
          <w:b/>
          <w:i/>
          <w:lang w:val="vi-VN"/>
        </w:rPr>
        <w:t>3</w:t>
      </w:r>
      <w:r>
        <w:rPr>
          <w:b/>
          <w:i/>
        </w:rPr>
        <w:t>. Chẩn đoán hình ảnh”, “</w:t>
      </w:r>
      <w:r>
        <w:rPr>
          <w:b/>
          <w:i/>
          <w:lang w:val="vi-VN"/>
        </w:rPr>
        <w:t>4</w:t>
      </w:r>
      <w:r>
        <w:rPr>
          <w:b/>
          <w:i/>
        </w:rPr>
        <w:t>. Thăm dò chức năng”</w:t>
      </w:r>
    </w:p>
    <w:p>
      <w:pPr>
        <w:pStyle w:val="normal-p"/>
        <w:spacing w:lineRule="auto" w:line="247" w:before="60" w:after="0"/>
        <w:ind w:firstLine="567"/>
        <w:rPr>
          <w:sz w:val="28"/>
          <w:szCs w:val="28"/>
          <w:lang w:val="vi-VN"/>
        </w:rPr>
      </w:pPr>
      <w:r>
        <w:rPr>
          <w:sz w:val="28"/>
          <w:szCs w:val="28"/>
        </w:rPr>
        <w:t>- Nội dung: Ghi tên dịch vụ kỹ thuật theo</w:t>
      </w:r>
      <w:r>
        <w:rPr>
          <w:sz w:val="28"/>
          <w:szCs w:val="28"/>
          <w:lang w:val="vi-VN"/>
        </w:rPr>
        <w:t xml:space="preserve"> Thông tư số 23/2024/TT-BYT của Bộ trưởng Bộ Y tế ban hành danh mục kỹ thuật trong KBCB.</w:t>
      </w:r>
      <w:r>
        <w:rPr>
          <w:sz w:val="28"/>
          <w:szCs w:val="28"/>
        </w:rPr>
        <w:t xml:space="preserve"> </w:t>
      </w:r>
      <w:r>
        <w:rPr>
          <w:sz w:val="28"/>
          <w:szCs w:val="28"/>
          <w:lang w:val="nl-NL"/>
        </w:rPr>
        <w:t>Đối với dịch vụ kỹ thuật, trường hợp cần ghi rõ vị trí, phương pháp thực hiện hoặc phân biệt các mức giá khác nhau thì sau tên dịch vụ kỹ thuật ghi phần mô tả chi tiết trong ngoặc vuông [</w:t>
      </w:r>
      <w:r>
        <w:rPr>
          <w:sz w:val="28"/>
          <w:szCs w:val="28"/>
          <w:lang w:val="vi-VN"/>
        </w:rPr>
        <w:t>…</w:t>
      </w:r>
      <w:r>
        <w:rPr>
          <w:sz w:val="28"/>
          <w:szCs w:val="28"/>
          <w:lang w:val="nl-NL"/>
        </w:rPr>
        <w:t>]</w:t>
      </w:r>
      <w:r>
        <w:rPr>
          <w:sz w:val="28"/>
          <w:szCs w:val="28"/>
          <w:lang w:val="vi-VN"/>
        </w:rPr>
        <w:t>.</w:t>
      </w:r>
    </w:p>
    <w:p>
      <w:pPr>
        <w:pStyle w:val="Normal"/>
        <w:spacing w:lineRule="auto" w:line="247" w:before="60" w:after="0"/>
        <w:ind w:firstLine="567"/>
        <w:jc w:val="both"/>
        <w:rPr>
          <w:spacing w:val="-2"/>
          <w:lang w:val="vi-VN"/>
        </w:rPr>
      </w:pPr>
      <w:r>
        <w:rPr>
          <w:i/>
          <w:lang w:val="nl-NL"/>
        </w:rPr>
        <w:t xml:space="preserve">- </w:t>
      </w:r>
      <w:r>
        <w:rPr>
          <w:lang w:val="nl-NL"/>
        </w:rPr>
        <w:t xml:space="preserve">Tỷ lệ thanh toán BHYT: </w:t>
      </w:r>
      <w:r>
        <w:rPr/>
        <w:t xml:space="preserve">Ghi tỷ lệ </w:t>
      </w:r>
      <w:r>
        <w:rPr>
          <w:spacing w:val="-2"/>
        </w:rPr>
        <w:t>100%</w:t>
      </w:r>
      <w:r>
        <w:rPr>
          <w:spacing w:val="-2"/>
          <w:lang w:val="vi-VN"/>
        </w:rPr>
        <w:t xml:space="preserve">; </w:t>
      </w:r>
      <w:r>
        <w:rPr/>
        <w:t>các dịch</w:t>
      </w:r>
      <w:r>
        <w:rPr>
          <w:lang w:val="vi-VN"/>
        </w:rPr>
        <w:t xml:space="preserve"> vụ</w:t>
      </w:r>
      <w:r>
        <w:rPr/>
        <w:t xml:space="preserve"> </w:t>
      </w:r>
      <w:r>
        <w:rPr>
          <w:spacing w:val="-2"/>
        </w:rPr>
        <w:t>nằm ngoài Phụ</w:t>
      </w:r>
      <w:r>
        <w:rPr>
          <w:spacing w:val="-2"/>
          <w:lang w:val="vi-VN"/>
        </w:rPr>
        <w:t xml:space="preserve"> lục 1 và Phụ lục 2 ban hành kèm theo Thông tư này</w:t>
      </w:r>
      <w:r>
        <w:rPr>
          <w:spacing w:val="-2"/>
        </w:rPr>
        <w:t xml:space="preserve"> thì ghi 0%.</w:t>
      </w:r>
    </w:p>
    <w:p>
      <w:pPr>
        <w:pStyle w:val="Normal"/>
        <w:tabs>
          <w:tab w:val="clear" w:pos="720"/>
          <w:tab w:val="left" w:pos="567" w:leader="none"/>
        </w:tabs>
        <w:spacing w:lineRule="auto" w:line="247" w:before="60" w:after="0"/>
        <w:jc w:val="both"/>
        <w:rPr/>
      </w:pPr>
      <w:r>
        <w:rPr>
          <w:spacing w:val="-4"/>
        </w:rPr>
        <w:tab/>
      </w:r>
      <w:r>
        <w:rPr>
          <w:spacing w:val="-4"/>
          <w:lang w:val="vi-VN"/>
        </w:rPr>
        <w:t>4</w:t>
      </w:r>
      <w:r>
        <w:rPr>
          <w:spacing w:val="-4"/>
        </w:rPr>
        <w:t xml:space="preserve">. Mục </w:t>
      </w:r>
      <w:r>
        <w:rPr>
          <w:b/>
          <w:bCs/>
          <w:i/>
          <w:iCs/>
          <w:spacing w:val="-4"/>
        </w:rPr>
        <w:t>“</w:t>
      </w:r>
      <w:r>
        <w:rPr>
          <w:b/>
          <w:bCs/>
          <w:i/>
          <w:iCs/>
          <w:spacing w:val="-4"/>
          <w:lang w:val="vi-VN"/>
        </w:rPr>
        <w:t>5</w:t>
      </w:r>
      <w:r>
        <w:rPr>
          <w:b/>
          <w:bCs/>
          <w:i/>
          <w:iCs/>
          <w:spacing w:val="-4"/>
        </w:rPr>
        <w:t>.</w:t>
      </w:r>
      <w:r>
        <w:rPr>
          <w:b/>
          <w:i/>
          <w:spacing w:val="-4"/>
          <w:lang w:val="vi-VN"/>
        </w:rPr>
        <w:t xml:space="preserve"> Thiết bị y tế</w:t>
      </w:r>
      <w:r>
        <w:rPr>
          <w:b/>
          <w:i/>
        </w:rPr>
        <w:t xml:space="preserve">” </w:t>
      </w:r>
      <w:r>
        <w:rPr>
          <w:bCs/>
          <w:i/>
        </w:rPr>
        <w:t>(Chỉ</w:t>
      </w:r>
      <w:r>
        <w:rPr>
          <w:bCs/>
          <w:i/>
          <w:lang w:val="vi-VN"/>
        </w:rPr>
        <w:t xml:space="preserve"> </w:t>
      </w:r>
      <w:r>
        <w:rPr>
          <w:i/>
        </w:rPr>
        <w:t>áp dụng đối với các</w:t>
      </w:r>
      <w:r>
        <w:rPr>
          <w:i/>
          <w:lang w:val="vi-VN"/>
        </w:rPr>
        <w:t xml:space="preserve"> thiết bị y tế</w:t>
      </w:r>
      <w:r>
        <w:rPr>
          <w:i/>
        </w:rPr>
        <w:t xml:space="preserve"> chưa</w:t>
      </w:r>
      <w:r>
        <w:rPr>
          <w:i/>
          <w:lang w:val="vi-VN"/>
        </w:rPr>
        <w:t xml:space="preserve"> tính trong giá </w:t>
      </w:r>
      <w:r>
        <w:rPr>
          <w:i/>
        </w:rPr>
        <w:t>dịch vụ kỹ thuật</w:t>
      </w:r>
      <w:r>
        <w:rPr>
          <w:i/>
          <w:lang w:val="vi-VN"/>
        </w:rPr>
        <w:t xml:space="preserve"> hoặc tiền công khám, ví dụ: Que đè lưỡi khi khám họng, găng tay y tế,…</w:t>
      </w:r>
      <w:r>
        <w:rPr>
          <w:i/>
        </w:rPr>
        <w:t>)</w:t>
      </w:r>
    </w:p>
    <w:p>
      <w:pPr>
        <w:pStyle w:val="Normal"/>
        <w:spacing w:lineRule="auto" w:line="247" w:before="60" w:after="0"/>
        <w:ind w:firstLine="567"/>
        <w:jc w:val="both"/>
        <w:rPr>
          <w:lang w:val="vi-VN"/>
        </w:rPr>
      </w:pPr>
      <w:r>
        <w:rPr/>
        <w:t>- Nội dung: Ghi tên</w:t>
      </w:r>
      <w:r>
        <w:rPr>
          <w:lang w:val="vi-VN"/>
        </w:rPr>
        <w:t xml:space="preserve"> thiết bị y tế</w:t>
      </w:r>
      <w:r>
        <w:rPr/>
        <w:t xml:space="preserve"> theo kết quả trúng thầu</w:t>
      </w:r>
      <w:r>
        <w:rPr>
          <w:lang w:val="vi-VN"/>
        </w:rPr>
        <w:t xml:space="preserve"> hoặc tên thương mại của hàng hóa</w:t>
      </w:r>
      <w:r>
        <w:rPr/>
        <w:t>.</w:t>
      </w:r>
    </w:p>
    <w:p>
      <w:pPr>
        <w:pStyle w:val="Normal"/>
        <w:spacing w:lineRule="auto" w:line="247" w:before="60" w:after="0"/>
        <w:ind w:firstLine="567"/>
        <w:jc w:val="both"/>
        <w:rPr>
          <w:spacing w:val="-2"/>
          <w:lang w:val="vi-VN"/>
        </w:rPr>
      </w:pPr>
      <w:r>
        <w:rPr/>
        <w:t xml:space="preserve">- Tỷ lệ thanh toán BHYT: Ghi tỷ lệ </w:t>
      </w:r>
      <w:r>
        <w:rPr>
          <w:lang w:val="vi-VN"/>
        </w:rPr>
        <w:t>100</w:t>
      </w:r>
      <w:r>
        <w:rPr/>
        <w:t>%; các thiết</w:t>
      </w:r>
      <w:r>
        <w:rPr>
          <w:lang w:val="vi-VN"/>
        </w:rPr>
        <w:t xml:space="preserve"> bị</w:t>
      </w:r>
      <w:r>
        <w:rPr/>
        <w:t xml:space="preserve"> y tế </w:t>
      </w:r>
      <w:r>
        <w:rPr>
          <w:spacing w:val="-2"/>
        </w:rPr>
        <w:t>nằm ngoài danh mục BHYT thì ghi 0%.</w:t>
      </w:r>
    </w:p>
    <w:p>
      <w:pPr>
        <w:pStyle w:val="Normal"/>
        <w:spacing w:lineRule="auto" w:line="247" w:before="60" w:after="0"/>
        <w:ind w:firstLine="567"/>
        <w:jc w:val="both"/>
        <w:rPr>
          <w:spacing w:val="-2"/>
          <w:lang w:val="vi-VN"/>
        </w:rPr>
      </w:pPr>
      <w:r>
        <w:rPr>
          <w:spacing w:val="-2"/>
          <w:lang w:val="vi-VN"/>
        </w:rPr>
        <w:t xml:space="preserve">5. Mục </w:t>
      </w:r>
      <w:r>
        <w:rPr>
          <w:b/>
          <w:bCs/>
          <w:i/>
          <w:iCs/>
          <w:spacing w:val="-2"/>
          <w:lang w:val="vi-VN"/>
        </w:rPr>
        <w:t xml:space="preserve">“6. Dịch vụ khác”: </w:t>
      </w:r>
      <w:r>
        <w:rPr>
          <w:spacing w:val="-2"/>
          <w:lang w:val="vi-VN"/>
        </w:rPr>
        <w:t xml:space="preserve">Ghi dịch vụ cập nhật, quản lý sổ sức khoẻ điện tử, quản lý sức khoẻ người dân khi dịch vụ đã được xây dựng định mức, có giá được cấp có thẩm quyền phê theo quy định tại Phụ lục 1 ban hành kèm theo Thông tư này hoặc các dịch vụ khác </w:t>
      </w:r>
      <w:r>
        <w:rPr>
          <w:spacing w:val="-2"/>
        </w:rPr>
        <w:t>nằm ngoài Phụ</w:t>
      </w:r>
      <w:r>
        <w:rPr>
          <w:spacing w:val="-2"/>
          <w:lang w:val="vi-VN"/>
        </w:rPr>
        <w:t xml:space="preserve"> lục 1 và Phụ lục 2 ban hành kèm theo Thông tư này.</w:t>
      </w:r>
    </w:p>
    <w:p>
      <w:pPr>
        <w:pStyle w:val="Normal"/>
        <w:spacing w:lineRule="auto" w:line="247" w:before="60" w:after="0"/>
        <w:ind w:firstLine="567"/>
        <w:jc w:val="both"/>
        <w:rPr>
          <w:spacing w:val="-2"/>
          <w:lang w:val="vi-VN"/>
        </w:rPr>
      </w:pPr>
      <w:r>
        <w:rPr>
          <w:spacing w:val="-2"/>
          <w:lang w:val="vi-VN"/>
        </w:rPr>
        <w:t>6. Hướng dẫn về cách ghi các cột chi phí và mức thanh toán BHYT tối đa:</w:t>
      </w:r>
    </w:p>
    <w:p>
      <w:pPr>
        <w:pStyle w:val="Normal"/>
        <w:spacing w:lineRule="auto" w:line="247" w:before="60" w:after="0"/>
        <w:ind w:firstLine="567"/>
        <w:jc w:val="both"/>
        <w:rPr>
          <w:spacing w:val="-2"/>
          <w:lang w:val="vi-VN"/>
        </w:rPr>
      </w:pPr>
      <w:r>
        <w:rPr>
          <w:spacing w:val="-2"/>
          <w:lang w:val="vi-VN"/>
        </w:rPr>
        <w:t xml:space="preserve">- Cột (4) </w:t>
      </w:r>
      <w:r>
        <w:rPr>
          <w:i/>
          <w:iCs/>
          <w:spacing w:val="-2"/>
          <w:lang w:val="vi-VN"/>
        </w:rPr>
        <w:t>“Đơn giá BV”</w:t>
      </w:r>
      <w:r>
        <w:rPr>
          <w:spacing w:val="-2"/>
          <w:lang w:val="vi-VN"/>
        </w:rPr>
        <w:t>: Ghi đơn giá khám dịch vụ theo yêu cầu</w:t>
      </w:r>
      <w:r>
        <w:rPr>
          <w:lang w:val="vi-VN"/>
        </w:rPr>
        <w:t xml:space="preserve"> được cấp có thẩm quyền phê duyệt giá cho cơ sở KBCB hoặc giá do cơ sở KBCB tự quy định.</w:t>
      </w:r>
    </w:p>
    <w:p>
      <w:pPr>
        <w:pStyle w:val="Normal"/>
        <w:spacing w:lineRule="auto" w:line="247" w:before="60" w:after="0"/>
        <w:ind w:firstLine="567"/>
        <w:jc w:val="both"/>
        <w:rPr>
          <w:spacing w:val="-2"/>
          <w:lang w:val="vi-VN"/>
        </w:rPr>
      </w:pPr>
      <w:r>
        <w:rPr>
          <w:spacing w:val="-2"/>
          <w:lang w:val="vi-VN"/>
        </w:rPr>
        <w:t xml:space="preserve">- Cột (5) </w:t>
      </w:r>
      <w:r>
        <w:rPr>
          <w:i/>
          <w:iCs/>
          <w:spacing w:val="-2"/>
          <w:lang w:val="vi-VN"/>
        </w:rPr>
        <w:t>“Đơn giá BH”</w:t>
      </w:r>
      <w:r>
        <w:rPr>
          <w:spacing w:val="-2"/>
          <w:lang w:val="vi-VN"/>
        </w:rPr>
        <w:t xml:space="preserve">: Ghi đơn giá theo giá BHYT được cấp có thẩm quyền phê duyệt giá cho cơ sở KBCB theo quy định của Thông tư số 21/2024/TT-BYT và Điều 110 Luật khám bệnh, chữa bệnh số 15/2023/QH15. Đối với cơ sở KBCB tư nhân thực hiện theo quy định tại Điều 47 Nghị định số 188/2025/NĐ-CP. Trường hợp giá BHYT được cấp có thẩm quyền phê duyệt cao hơn mức thanh toán BHYT tối đa quy định tại </w:t>
      </w:r>
      <w:r>
        <w:rPr>
          <w:spacing w:val="-2"/>
        </w:rPr>
        <w:t>Phụ</w:t>
      </w:r>
      <w:r>
        <w:rPr>
          <w:spacing w:val="-2"/>
          <w:lang w:val="vi-VN"/>
        </w:rPr>
        <w:t xml:space="preserve"> lục 1 và Phụ lục 2 ban hành kèm theo Thông tư này thì ghi mức thanh toán BHYT tối đa vào cột (5) “Đơn giá BH”, phần tiền chênh lệch đưa vào cột (11) “Người khám sức khỏe tự trả”.</w:t>
      </w:r>
    </w:p>
    <w:p>
      <w:pPr>
        <w:pStyle w:val="Normal"/>
        <w:spacing w:lineRule="auto" w:line="247" w:before="60" w:after="0"/>
        <w:ind w:firstLine="567"/>
        <w:jc w:val="both"/>
        <w:rPr>
          <w:lang w:val="vi-VN"/>
        </w:rPr>
      </w:pPr>
      <w:r>
        <w:rPr>
          <w:lang w:val="vi-VN"/>
        </w:rPr>
        <w:t xml:space="preserve">- Cột (10) </w:t>
      </w:r>
      <w:r>
        <w:rPr>
          <w:i/>
          <w:iCs/>
          <w:lang w:val="vi-VN"/>
        </w:rPr>
        <w:t>“Nguồn khác”</w:t>
      </w:r>
      <w:r>
        <w:rPr>
          <w:lang w:val="vi-VN"/>
        </w:rPr>
        <w:t xml:space="preserve">: Trường hợp dịch vụ y tế trong lần khám sức khoẻ nằm ngoài </w:t>
      </w:r>
      <w:r>
        <w:rPr/>
        <w:t>Phụ</w:t>
      </w:r>
      <w:r>
        <w:rPr>
          <w:lang w:val="vi-VN"/>
        </w:rPr>
        <w:t xml:space="preserve"> lục 1 và Phụ lục 2 ban hành kèm theo Thông tư này nhưng có nguồn kinh phí khác (ngoài quỹ BHYT) như ngân sách nhà nước, ngân sách địa phương hỗ trợ hoặc các nguồn kinh phí hợp pháp khác chi trả thì ghi số tiền hỗ trợ vào cột này. Tổng số tiền từ các nguồn khác chi trả được ghi vào dòng “nguồn khác” ở phần cuối của Bảng kê chi phí.</w:t>
      </w:r>
    </w:p>
    <w:p>
      <w:pPr>
        <w:pStyle w:val="Normal"/>
        <w:spacing w:lineRule="auto" w:line="247" w:before="60" w:after="0"/>
        <w:ind w:firstLine="567"/>
        <w:jc w:val="both"/>
        <w:rPr>
          <w:spacing w:val="-2"/>
          <w:lang w:val="vi-VN"/>
        </w:rPr>
      </w:pPr>
      <w:r>
        <w:rPr>
          <w:spacing w:val="-2"/>
          <w:lang w:val="vi-VN"/>
        </w:rPr>
        <w:t xml:space="preserve">- Dòng </w:t>
      </w:r>
      <w:r>
        <w:rPr>
          <w:i/>
          <w:iCs/>
          <w:spacing w:val="-2"/>
          <w:lang w:val="vi-VN"/>
        </w:rPr>
        <w:t xml:space="preserve">“Quỹ BHYT thanh toán” </w:t>
      </w:r>
      <w:r>
        <w:rPr>
          <w:spacing w:val="-2"/>
          <w:lang w:val="vi-VN"/>
        </w:rPr>
        <w:t xml:space="preserve">ở cuối Bảng kê chi phí: Ghi tổng số tiền được quỹ BHYT thanh toán tại cột (9) “Quỹ BHYT”. Trường hợp tổng chi phí này lớn hơn mức tổng BHYT thanh toán trong một lần KSK quy định tại </w:t>
      </w:r>
      <w:r>
        <w:rPr>
          <w:spacing w:val="-2"/>
        </w:rPr>
        <w:t>Phụ</w:t>
      </w:r>
      <w:r>
        <w:rPr>
          <w:spacing w:val="-2"/>
          <w:lang w:val="vi-VN"/>
        </w:rPr>
        <w:t xml:space="preserve"> lục 1 và Phụ lục 2 ban hành kèm theo Thông tư này thì ghi “350.000” đối với KSK định kỳ hoặc ghi “250.000” đối với KSK định kỳ cho trẻ em, học sinh.</w:t>
      </w:r>
    </w:p>
    <w:p>
      <w:pPr>
        <w:pStyle w:val="Normal"/>
        <w:spacing w:lineRule="auto" w:line="247" w:before="60" w:after="0"/>
        <w:ind w:firstLine="567"/>
        <w:jc w:val="both"/>
        <w:rPr>
          <w:spacing w:val="-2"/>
          <w:lang w:val="vi-VN"/>
        </w:rPr>
      </w:pPr>
      <w:r>
        <w:rPr>
          <w:spacing w:val="-2"/>
          <w:lang w:val="vi-VN"/>
        </w:rPr>
        <w:t xml:space="preserve">- Dòng </w:t>
      </w:r>
      <w:r>
        <w:rPr>
          <w:i/>
          <w:iCs/>
          <w:spacing w:val="-2"/>
          <w:lang w:val="vi-VN"/>
        </w:rPr>
        <w:t>“</w:t>
      </w:r>
      <w:r>
        <w:rPr>
          <w:i/>
          <w:iCs/>
        </w:rPr>
        <w:t>Người khám sức khoẻ tự trả</w:t>
      </w:r>
      <w:r>
        <w:rPr>
          <w:i/>
          <w:iCs/>
          <w:spacing w:val="-2"/>
          <w:lang w:val="vi-VN"/>
        </w:rPr>
        <w:t xml:space="preserve">” </w:t>
      </w:r>
      <w:r>
        <w:rPr>
          <w:spacing w:val="-2"/>
          <w:lang w:val="vi-VN"/>
        </w:rPr>
        <w:t>ở cuối Bảng kê chi phí: Ghi tổng số tiền người khám sức khoẻ tự trả = Tổng chi phí lần khám sức khoẻ - Tổng chi phí quỹ BHYT chi trả - Tổng nguồn khác chi trả.</w:t>
      </w:r>
    </w:p>
    <w:p>
      <w:pPr>
        <w:pStyle w:val="Normal"/>
        <w:spacing w:before="120" w:after="120"/>
        <w:ind w:firstLine="567"/>
        <w:jc w:val="both"/>
        <w:rPr>
          <w:b/>
          <w:bCs/>
          <w:spacing w:val="-2"/>
          <w:lang w:val="vi-VN"/>
        </w:rPr>
      </w:pPr>
      <w:r>
        <w:rPr>
          <w:b/>
          <w:bCs/>
          <w:spacing w:val="-2"/>
          <w:lang w:val="vi-VN"/>
        </w:rPr>
        <w:t>V. Quy định về ký số đối với Bảng kê chi phí KSK:</w:t>
      </w:r>
    </w:p>
    <w:p>
      <w:pPr>
        <w:pStyle w:val="Normal"/>
        <w:spacing w:before="120" w:after="120"/>
        <w:ind w:firstLine="567"/>
        <w:jc w:val="both"/>
        <w:rPr>
          <w:spacing w:val="-2"/>
          <w:lang w:val="vi-VN"/>
        </w:rPr>
      </w:pPr>
      <w:r>
        <w:rPr>
          <w:spacing w:val="-2"/>
          <w:lang w:val="vi-VN"/>
        </w:rPr>
        <w:t>- Đối với chữ ký của người lập bảng kê: Ký xác nhận bằng chữ ký điện tử của người lập bảng kê;</w:t>
      </w:r>
    </w:p>
    <w:p>
      <w:pPr>
        <w:pStyle w:val="Normal"/>
        <w:spacing w:before="120" w:after="120"/>
        <w:ind w:firstLine="567"/>
        <w:jc w:val="both"/>
        <w:rPr>
          <w:spacing w:val="-2"/>
          <w:lang w:val="vi-VN"/>
        </w:rPr>
      </w:pPr>
      <w:r>
        <w:rPr>
          <w:spacing w:val="-2"/>
          <w:lang w:val="vi-VN"/>
        </w:rPr>
        <w:t>- Đối với chữ ký của kế toán viện phí: Thực hiện ký số bằng chữ ký số hợp pháp do thủ trưởng cơ sở KBCB cấp cho kế toán viện phí;</w:t>
      </w:r>
    </w:p>
    <w:p>
      <w:pPr>
        <w:pStyle w:val="Normal"/>
        <w:spacing w:before="120" w:after="120"/>
        <w:ind w:firstLine="567"/>
        <w:jc w:val="both"/>
        <w:rPr>
          <w:spacing w:val="-2"/>
          <w:lang w:val="vi-VN"/>
        </w:rPr>
      </w:pPr>
      <w:r>
        <w:rPr>
          <w:spacing w:val="-2"/>
          <w:lang w:val="vi-VN"/>
        </w:rPr>
        <w:t>- Đối với chữ ký xác nhận của người được khám sức khoẻ, thực hiện theo một trong các hình thức sau đây:</w:t>
      </w:r>
    </w:p>
    <w:p>
      <w:pPr>
        <w:pStyle w:val="Normal"/>
        <w:spacing w:before="120" w:after="120"/>
        <w:ind w:firstLine="567"/>
        <w:jc w:val="both"/>
        <w:rPr>
          <w:spacing w:val="-2"/>
          <w:lang w:val="vi-VN"/>
        </w:rPr>
      </w:pPr>
      <w:r>
        <w:rPr>
          <w:spacing w:val="-2"/>
          <w:lang w:val="vi-VN"/>
        </w:rPr>
        <w:t>+ Ký số qua ứng dụng liên kết với định danh điện tử quốc gia (VNeID);</w:t>
      </w:r>
    </w:p>
    <w:p>
      <w:pPr>
        <w:pStyle w:val="Normal"/>
        <w:spacing w:before="120" w:after="120"/>
        <w:ind w:firstLine="567"/>
        <w:jc w:val="both"/>
        <w:rPr>
          <w:spacing w:val="-2"/>
          <w:lang w:val="vi-VN"/>
        </w:rPr>
      </w:pPr>
      <w:r>
        <w:rPr>
          <w:spacing w:val="-2"/>
          <w:lang w:val="vi-VN"/>
        </w:rPr>
        <w:t>+ Ký số bằng chữ ký số công cộng do các đơn vị cung cấp chữ ký số công cộng hợp pháp cung cấp;</w:t>
      </w:r>
    </w:p>
    <w:p>
      <w:pPr>
        <w:pStyle w:val="Normal"/>
        <w:spacing w:before="120" w:after="120"/>
        <w:ind w:firstLine="567"/>
        <w:jc w:val="both"/>
        <w:rPr>
          <w:spacing w:val="-2"/>
          <w:lang w:val="vi-VN"/>
        </w:rPr>
      </w:pPr>
      <w:r>
        <w:rPr>
          <w:spacing w:val="-2"/>
          <w:lang w:val="vi-VN"/>
        </w:rPr>
        <w:t>+ Xác nhận qua các thiết bị nhận dạng, xác thực sinh trắc học (vân tay, mống mắt,…);</w:t>
      </w:r>
    </w:p>
    <w:p>
      <w:pPr>
        <w:pStyle w:val="Normal"/>
        <w:spacing w:before="120" w:after="120"/>
        <w:ind w:firstLine="567"/>
        <w:jc w:val="both"/>
        <w:rPr>
          <w:spacing w:val="-2"/>
          <w:lang w:val="vi-VN"/>
        </w:rPr>
      </w:pPr>
      <w:r>
        <w:rPr>
          <w:spacing w:val="-2"/>
          <w:lang w:val="vi-VN"/>
        </w:rPr>
        <w:t>+ Ký trên thiết bị cảm ứng, có xác nhận lại bằng chữ ký số hợp pháp của nhân viên y tế của cơ sở KBCB. Trường hợp kế toán viện phí ký số sau khi người được khám sức khoẻ ký thì nhân viên y tế của cơ sở KBCB không phải ký số xác nhận lại chữ ký của người được khám sức khoẻ ký trên thiết bị cảm ứng.</w:t>
      </w:r>
    </w:p>
    <w:p>
      <w:pPr>
        <w:pStyle w:val="Normal"/>
        <w:spacing w:before="120" w:after="120"/>
        <w:jc w:val="both"/>
        <w:rPr>
          <w:b/>
        </w:rPr>
      </w:pPr>
      <w:r>
        <w:rPr>
          <w:b/>
        </w:rPr>
        <w:t xml:space="preserve">Phần </w:t>
      </w:r>
      <w:r>
        <w:rPr>
          <w:b/>
          <w:lang w:val="vi-VN"/>
        </w:rPr>
        <w:t>2</w:t>
      </w:r>
      <w:r>
        <w:rPr>
          <w:b/>
        </w:rPr>
        <w:t>: Hướng dẫn cách ghi Bảng kê chi phí khám sức</w:t>
      </w:r>
      <w:r>
        <w:rPr>
          <w:b/>
          <w:lang w:val="vi-VN"/>
        </w:rPr>
        <w:t xml:space="preserve"> khoẻ định kỳ</w:t>
      </w:r>
      <w:r>
        <w:rPr>
          <w:b/>
        </w:rPr>
        <w:t xml:space="preserve"> đối với người chưa</w:t>
      </w:r>
      <w:r>
        <w:rPr>
          <w:b/>
          <w:lang w:val="vi-VN"/>
        </w:rPr>
        <w:t xml:space="preserve"> tham gia</w:t>
      </w:r>
      <w:r>
        <w:rPr>
          <w:b/>
        </w:rPr>
        <w:t xml:space="preserve"> bảo hiểm y tế</w:t>
      </w:r>
    </w:p>
    <w:p>
      <w:pPr>
        <w:pStyle w:val="Normal"/>
        <w:spacing w:before="120" w:after="120"/>
        <w:ind w:firstLine="720"/>
        <w:jc w:val="both"/>
        <w:rPr/>
      </w:pPr>
      <w:r>
        <w:rPr/>
        <w:t xml:space="preserve">1. Thực hiện ghi chép các mục tương tự như đã hướng dẫn ở Phần </w:t>
      </w:r>
      <w:r>
        <w:rPr>
          <w:lang w:val="vi-VN"/>
        </w:rPr>
        <w:t>1 của</w:t>
      </w:r>
      <w:r>
        <w:rPr/>
        <w:t xml:space="preserve"> Phụ lục này.</w:t>
      </w:r>
    </w:p>
    <w:p>
      <w:pPr>
        <w:pStyle w:val="Normal"/>
        <w:spacing w:before="120" w:after="120"/>
        <w:ind w:firstLine="720"/>
        <w:jc w:val="both"/>
        <w:rPr/>
      </w:pPr>
      <w:r>
        <w:rPr/>
        <w:t>2. Những mục liên quan đến thông tin của người tham gia BHYT thì cơ sở KBCB để trống, trong đó cần chú ý: Cột (</w:t>
      </w:r>
      <w:r>
        <w:rPr>
          <w:lang w:val="vi-VN"/>
        </w:rPr>
        <w:t>7</w:t>
      </w:r>
      <w:r>
        <w:rPr/>
        <w:t>) “Tỷ lệ thanh toán BHYT” mặc định bằng 0; cột (1</w:t>
      </w:r>
      <w:r>
        <w:rPr>
          <w:lang w:val="vi-VN"/>
        </w:rPr>
        <w:t>1</w:t>
      </w:r>
      <w:r>
        <w:rPr/>
        <w:t>) “Người khám</w:t>
      </w:r>
      <w:r>
        <w:rPr>
          <w:lang w:val="vi-VN"/>
        </w:rPr>
        <w:t xml:space="preserve"> sức khoẻ tự trả</w:t>
      </w:r>
      <w:r>
        <w:rPr/>
        <w:t>” bằng cột (</w:t>
      </w:r>
      <w:r>
        <w:rPr>
          <w:lang w:val="vi-VN"/>
        </w:rPr>
        <w:t>6</w:t>
      </w:r>
      <w:r>
        <w:rPr/>
        <w:t>) “Thành tiền BV”</w:t>
      </w:r>
      <w:r>
        <w:rPr>
          <w:lang w:val="vi-VN"/>
        </w:rPr>
        <w:t xml:space="preserve">. Trường hợp có nguồn kinh phí khác chi trả thì </w:t>
      </w:r>
      <w:r>
        <w:rPr>
          <w:spacing w:val="-2"/>
          <w:lang w:val="vi-VN"/>
        </w:rPr>
        <w:t>số tiền người khám sức khoẻ tự trả = Tổng chi phí lần khám sức khoẻ - Nguồn khác chi trả</w:t>
      </w:r>
      <w:r>
        <w:rPr/>
        <w:t>./.</w:t>
      </w:r>
    </w:p>
    <w:p>
      <w:pPr>
        <w:pStyle w:val="Normal"/>
        <w:jc w:val="both"/>
        <w:rPr>
          <w:i/>
          <w:iCs/>
          <w:color w:themeColor="text1" w:val="000000"/>
        </w:rPr>
      </w:pPr>
      <w:r>
        <w:rPr>
          <w:i/>
          <w:iCs/>
          <w:color w:themeColor="text1" w:val="000000"/>
        </w:rPr>
      </w:r>
    </w:p>
    <w:sectPr>
      <w:headerReference w:type="default" r:id="rId7"/>
      <w:headerReference w:type="first" r:id="rId8"/>
      <w:type w:val="nextPage"/>
      <w:pgSz w:w="11906" w:h="16838"/>
      <w:pgMar w:left="1701" w:right="1134" w:gutter="0" w:header="720" w:top="1134"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VnTimeH">
    <w:charset w:val="00"/>
    <w:family w:val="swiss"/>
    <w:pitch w:val="variable"/>
  </w:font>
  <w:font w:name="Calibri">
    <w:charset w:val="00"/>
    <w:family w:val="roman"/>
    <w:pitch w:val="variable"/>
  </w:font>
  <w:font w:name="Tahoma">
    <w:charset w:val="00"/>
    <w:family w:val="swiss"/>
    <w:pitch w:val="variable"/>
  </w:font>
  <w:font w:name="TimesNewRomanPSMT">
    <w:charset w:val="00"/>
    <w:family w:val="roman"/>
    <w:pitch w:val="variable"/>
  </w:font>
  <w:font w:name="Liberation Sans">
    <w:altName w:val="Arial"/>
    <w:charset w:val="00"/>
    <w:family w:val="swiss"/>
    <w:pitch w:val="variable"/>
  </w:font>
  <w:font w:name="Verdana">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009619"/>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12</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009619"/>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15</w:t>
        </w:r>
        <w:r>
          <w:rPr/>
          <w:fldChar w:fldCharType="end"/>
        </w:r>
      </w:p>
    </w:sdtContent>
  </w:sdt>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009619"/>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19</w:t>
        </w:r>
        <w:r>
          <w:rPr/>
          <w:fldChar w:fldCharType="end"/>
        </w:r>
      </w:p>
    </w:sdtContent>
  </w:sdt>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1526" w:hanging="675"/>
      </w:pPr>
      <w:rPr>
        <w:strike w:val="false"/>
        <w:dstrike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34e82"/>
    <w:pPr>
      <w:widowControl/>
      <w:bidi w:val="0"/>
      <w:spacing w:before="0" w:after="0"/>
      <w:jc w:val="lef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
    <w:uiPriority w:val="9"/>
    <w:qFormat/>
    <w:rsid w:val="008105e7"/>
    <w:pPr>
      <w:keepNext w:val="true"/>
      <w:keepLines/>
      <w:spacing w:before="120" w:after="120"/>
      <w:jc w:val="both"/>
      <w:outlineLvl w:val="0"/>
    </w:pPr>
    <w:rPr>
      <w:rFonts w:eastAsia="" w:cs="" w:cstheme="majorBidi" w:eastAsiaTheme="majorEastAsia"/>
      <w:b/>
      <w:color w:themeColor="text1" w:val="000000"/>
      <w:szCs w:val="32"/>
    </w:rPr>
  </w:style>
  <w:style w:type="paragraph" w:styleId="Heading2">
    <w:name w:val="heading 2"/>
    <w:basedOn w:val="Normal"/>
    <w:next w:val="Normal"/>
    <w:link w:val="Heading2Char"/>
    <w:uiPriority w:val="9"/>
    <w:unhideWhenUsed/>
    <w:qFormat/>
    <w:rsid w:val="001c11ce"/>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Heading3Char"/>
    <w:unhideWhenUsed/>
    <w:qFormat/>
    <w:rsid w:val="00f42d64"/>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9">
    <w:name w:val="heading 9"/>
    <w:basedOn w:val="Normal"/>
    <w:next w:val="Normal"/>
    <w:qFormat/>
    <w:rsid w:val="000e2c77"/>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0e2c77"/>
    <w:rPr/>
  </w:style>
  <w:style w:type="character" w:styleId="SubtitleChar" w:customStyle="1">
    <w:name w:val="Subtitle Char"/>
    <w:link w:val="Subtitle"/>
    <w:qFormat/>
    <w:rsid w:val="00b6450a"/>
    <w:rPr>
      <w:rFonts w:ascii=".VnTimeH" w:hAnsi=".VnTimeH" w:cs=".VnTimeH"/>
      <w:b/>
      <w:bCs/>
      <w:sz w:val="28"/>
      <w:szCs w:val="28"/>
    </w:rPr>
  </w:style>
  <w:style w:type="character" w:styleId="Bodytext2" w:customStyle="1">
    <w:name w:val="Body text (2)"/>
    <w:qFormat/>
    <w:rsid w:val="0037092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vi-VN" w:eastAsia="vi-VN" w:bidi="vi-VN"/>
    </w:rPr>
  </w:style>
  <w:style w:type="character" w:styleId="Bodytext2Bold" w:customStyle="1">
    <w:name w:val="Body text (2) + Bold"/>
    <w:qFormat/>
    <w:rsid w:val="0037092d"/>
    <w:rPr>
      <w:rFonts w:ascii="Times New Roman" w:hAnsi="Times New Roman" w:eastAsia="Times New Roman" w:cs="Times New Roman"/>
      <w:b/>
      <w:bCs/>
      <w:i/>
      <w:iCs/>
      <w:caps w:val="false"/>
      <w:smallCaps w:val="false"/>
      <w:strike w:val="false"/>
      <w:dstrike w:val="false"/>
      <w:color w:val="000000"/>
      <w:spacing w:val="0"/>
      <w:w w:val="100"/>
      <w:sz w:val="24"/>
      <w:szCs w:val="24"/>
      <w:u w:val="none"/>
      <w:lang w:val="vi-VN" w:eastAsia="vi-VN" w:bidi="vi-VN"/>
    </w:rPr>
  </w:style>
  <w:style w:type="character" w:styleId="Bodytext4Italic" w:customStyle="1">
    <w:name w:val="Body text (4) + Italic"/>
    <w:qFormat/>
    <w:rsid w:val="0037092d"/>
    <w:rPr>
      <w:rFonts w:ascii="Times New Roman" w:hAnsi="Times New Roman" w:eastAsia="Times New Roman" w:cs="Times New Roman"/>
      <w:b w:val="false"/>
      <w:bCs w:val="false"/>
      <w:i/>
      <w:iCs/>
      <w:caps w:val="false"/>
      <w:smallCaps w:val="false"/>
      <w:strike w:val="false"/>
      <w:dstrike w:val="false"/>
      <w:color w:val="000000"/>
      <w:spacing w:val="0"/>
      <w:w w:val="100"/>
      <w:sz w:val="26"/>
      <w:szCs w:val="26"/>
      <w:u w:val="none"/>
      <w:lang w:val="vi-VN" w:eastAsia="vi-VN" w:bidi="vi-VN"/>
    </w:rPr>
  </w:style>
  <w:style w:type="character" w:styleId="HeaderChar" w:customStyle="1">
    <w:name w:val="Header Char"/>
    <w:basedOn w:val="DefaultParagraphFont"/>
    <w:link w:val="Header"/>
    <w:uiPriority w:val="99"/>
    <w:qFormat/>
    <w:rsid w:val="00651625"/>
    <w:rPr>
      <w:sz w:val="24"/>
      <w:szCs w:val="24"/>
    </w:rPr>
  </w:style>
  <w:style w:type="character" w:styleId="ListParagraphChar" w:customStyle="1">
    <w:name w:val="List Paragraph Char"/>
    <w:link w:val="ListParagraph"/>
    <w:uiPriority w:val="34"/>
    <w:qFormat/>
    <w:locked/>
    <w:rsid w:val="007c04a7"/>
    <w:rPr>
      <w:rFonts w:ascii="Calibri" w:hAnsi="Calibri" w:eastAsia="Calibri" w:cs="" w:asciiTheme="minorHAnsi" w:cstheme="minorBidi" w:eastAsiaTheme="minorHAnsi" w:hAnsiTheme="minorHAnsi"/>
      <w:sz w:val="22"/>
      <w:szCs w:val="22"/>
    </w:rPr>
  </w:style>
  <w:style w:type="character" w:styleId="BalloonTextChar" w:customStyle="1">
    <w:name w:val="Balloon Text Char"/>
    <w:basedOn w:val="DefaultParagraphFont"/>
    <w:link w:val="BalloonText"/>
    <w:semiHidden/>
    <w:qFormat/>
    <w:rsid w:val="00ea62ec"/>
    <w:rPr>
      <w:rFonts w:ascii="Tahoma" w:hAnsi="Tahoma" w:cs="Tahoma"/>
      <w:sz w:val="16"/>
      <w:szCs w:val="16"/>
    </w:rPr>
  </w:style>
  <w:style w:type="character" w:styleId="fontstyle01" w:customStyle="1">
    <w:name w:val="fontstyle01"/>
    <w:basedOn w:val="DefaultParagraphFont"/>
    <w:qFormat/>
    <w:rsid w:val="008e74e5"/>
    <w:rPr>
      <w:rFonts w:ascii="TimesNewRomanPSMT" w:hAnsi="TimesNewRomanPSMT"/>
      <w:b w:val="false"/>
      <w:bCs w:val="false"/>
      <w:i w:val="false"/>
      <w:iCs w:val="false"/>
      <w:color w:val="000000"/>
      <w:sz w:val="24"/>
      <w:szCs w:val="24"/>
    </w:rPr>
  </w:style>
  <w:style w:type="character" w:styleId="Heading3Char" w:customStyle="1">
    <w:name w:val="Heading 3 Char"/>
    <w:basedOn w:val="DefaultParagraphFont"/>
    <w:link w:val="Heading3"/>
    <w:qFormat/>
    <w:rsid w:val="00f42d64"/>
    <w:rPr>
      <w:rFonts w:ascii="Cambria" w:hAnsi="Cambria" w:eastAsia="" w:cs="" w:asciiTheme="majorHAnsi" w:cstheme="majorBidi" w:eastAsiaTheme="majorEastAsia" w:hAnsiTheme="majorHAnsi"/>
      <w:b/>
      <w:bCs/>
      <w:color w:themeColor="accent1" w:val="4F81BD"/>
      <w:sz w:val="28"/>
      <w:szCs w:val="28"/>
    </w:rPr>
  </w:style>
  <w:style w:type="character" w:styleId="IntenseEmphasis">
    <w:name w:val="Intense Emphasis"/>
    <w:basedOn w:val="DefaultParagraphFont"/>
    <w:uiPriority w:val="21"/>
    <w:qFormat/>
    <w:rsid w:val="00834f14"/>
    <w:rPr>
      <w:i/>
      <w:iCs/>
      <w:color w:themeColor="accent1" w:themeShade="bf" w:val="365F91"/>
    </w:rPr>
  </w:style>
  <w:style w:type="character" w:styleId="CommentReference">
    <w:name w:val="annotation reference"/>
    <w:basedOn w:val="DefaultParagraphFont"/>
    <w:uiPriority w:val="99"/>
    <w:semiHidden/>
    <w:unhideWhenUsed/>
    <w:qFormat/>
    <w:rsid w:val="00ea7060"/>
    <w:rPr>
      <w:sz w:val="16"/>
      <w:szCs w:val="16"/>
    </w:rPr>
  </w:style>
  <w:style w:type="character" w:styleId="CommentTextChar" w:customStyle="1">
    <w:name w:val="Comment Text Char"/>
    <w:basedOn w:val="DefaultParagraphFont"/>
    <w:link w:val="CommentText"/>
    <w:uiPriority w:val="99"/>
    <w:qFormat/>
    <w:rsid w:val="00ea7060"/>
    <w:rPr>
      <w:rFonts w:ascii="Calibri" w:hAnsi="Calibri" w:eastAsia="Calibri" w:cs="" w:asciiTheme="minorHAnsi" w:cstheme="minorBidi" w:eastAsiaTheme="minorHAnsi" w:hAnsiTheme="minorHAnsi"/>
      <w:kern w:val="2"/>
      <w14:ligatures w14:val="standardContextual"/>
    </w:rPr>
  </w:style>
  <w:style w:type="character" w:styleId="Hyperlink">
    <w:name w:val="Hyperlink"/>
    <w:basedOn w:val="DefaultParagraphFont"/>
    <w:uiPriority w:val="99"/>
    <w:unhideWhenUsed/>
    <w:qFormat/>
    <w:rsid w:val="00c519c7"/>
    <w:rPr>
      <w:color w:themeColor="hyperlink" w:val="0000FF"/>
      <w:u w:val="single"/>
    </w:rPr>
  </w:style>
  <w:style w:type="character" w:styleId="cpChagiiquyt1" w:customStyle="1">
    <w:name w:val="Đề cập Chưa giải quyết1"/>
    <w:basedOn w:val="DefaultParagraphFont"/>
    <w:uiPriority w:val="99"/>
    <w:semiHidden/>
    <w:unhideWhenUsed/>
    <w:qFormat/>
    <w:rsid w:val="00c519c7"/>
    <w:rPr>
      <w:color w:val="605E5C"/>
      <w:shd w:fill="E1DFDD" w:val="clear"/>
    </w:rPr>
  </w:style>
  <w:style w:type="character" w:styleId="Heading2Char" w:customStyle="1">
    <w:name w:val="Heading 2 Char"/>
    <w:basedOn w:val="DefaultParagraphFont"/>
    <w:link w:val="Heading2"/>
    <w:uiPriority w:val="9"/>
    <w:qFormat/>
    <w:rsid w:val="001c11ce"/>
    <w:rPr>
      <w:rFonts w:ascii="Cambria" w:hAnsi="Cambria" w:eastAsia="" w:cs="" w:asciiTheme="majorHAnsi" w:cstheme="majorBidi" w:eastAsiaTheme="majorEastAsia" w:hAnsiTheme="majorHAnsi"/>
      <w:color w:themeColor="accent1" w:themeShade="bf" w:val="365F91"/>
      <w:sz w:val="26"/>
      <w:szCs w:val="26"/>
    </w:rPr>
  </w:style>
  <w:style w:type="character" w:styleId="Heading1Char" w:customStyle="1">
    <w:name w:val="Heading 1 Char"/>
    <w:basedOn w:val="DefaultParagraphFont"/>
    <w:link w:val="Heading1"/>
    <w:uiPriority w:val="9"/>
    <w:qFormat/>
    <w:rsid w:val="008105e7"/>
    <w:rPr>
      <w:rFonts w:eastAsia="" w:cs="" w:cstheme="majorBidi" w:eastAsiaTheme="majorEastAsia"/>
      <w:b/>
      <w:color w:themeColor="text1" w:val="000000"/>
      <w:sz w:val="28"/>
      <w:szCs w:val="32"/>
    </w:rPr>
  </w:style>
  <w:style w:type="character" w:styleId="CommentSubjectChar" w:customStyle="1">
    <w:name w:val="Comment Subject Char"/>
    <w:basedOn w:val="CommentTextChar"/>
    <w:link w:val="annotationsubject"/>
    <w:semiHidden/>
    <w:qFormat/>
    <w:rsid w:val="00b924b1"/>
    <w:rPr>
      <w:rFonts w:ascii="Calibri" w:hAnsi="Calibri" w:eastAsia="Calibri" w:cs="" w:asciiTheme="minorHAnsi" w:cstheme="minorBidi" w:eastAsiaTheme="minorHAnsi" w:hAnsiTheme="minorHAnsi"/>
      <w:b/>
      <w:bCs/>
      <w:kern w:val="2"/>
      <w14:ligatures w14:val="standardContextual"/>
    </w:rPr>
  </w:style>
  <w:style w:type="character" w:styleId="Strong">
    <w:name w:val="Strong"/>
    <w:basedOn w:val="DefaultParagraphFont"/>
    <w:uiPriority w:val="22"/>
    <w:qFormat/>
    <w:rsid w:val="00ec5efc"/>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title">
    <w:name w:val="Subtitle"/>
    <w:basedOn w:val="Normal"/>
    <w:link w:val="SubtitleChar"/>
    <w:qFormat/>
    <w:rsid w:val="000e2c77"/>
    <w:pPr>
      <w:jc w:val="center"/>
    </w:pPr>
    <w:rPr>
      <w:rFonts w:ascii=".VnTimeH" w:hAnsi=".VnTimeH" w:cs=".VnTimeH"/>
      <w:b/>
      <w:bCs/>
    </w:rPr>
  </w:style>
  <w:style w:type="paragraph" w:styleId="HeaderandFooter">
    <w:name w:val="Header and Footer"/>
    <w:basedOn w:val="Normal"/>
    <w:qFormat/>
    <w:pPr/>
    <w:rPr/>
  </w:style>
  <w:style w:type="paragraph" w:styleId="Header">
    <w:name w:val="header"/>
    <w:basedOn w:val="Normal"/>
    <w:link w:val="HeaderChar"/>
    <w:uiPriority w:val="99"/>
    <w:rsid w:val="000e2c77"/>
    <w:pPr>
      <w:tabs>
        <w:tab w:val="clear" w:pos="720"/>
        <w:tab w:val="center" w:pos="4320" w:leader="none"/>
        <w:tab w:val="right" w:pos="8640" w:leader="none"/>
      </w:tabs>
    </w:pPr>
    <w:rPr>
      <w:sz w:val="24"/>
      <w:szCs w:val="24"/>
    </w:rPr>
  </w:style>
  <w:style w:type="paragraph" w:styleId="Char" w:customStyle="1">
    <w:name w:val="Char"/>
    <w:basedOn w:val="Normal"/>
    <w:semiHidden/>
    <w:qFormat/>
    <w:rsid w:val="009c2d8c"/>
    <w:pPr>
      <w:spacing w:lineRule="exact" w:line="240" w:before="0" w:after="160"/>
    </w:pPr>
    <w:rPr>
      <w:rFonts w:ascii="Arial" w:hAnsi="Arial" w:cs="Arial"/>
      <w:sz w:val="22"/>
      <w:szCs w:val="22"/>
    </w:rPr>
  </w:style>
  <w:style w:type="paragraph" w:styleId="Footer">
    <w:name w:val="footer"/>
    <w:basedOn w:val="Normal"/>
    <w:rsid w:val="009c2d8c"/>
    <w:pPr>
      <w:tabs>
        <w:tab w:val="clear" w:pos="720"/>
        <w:tab w:val="center" w:pos="4320" w:leader="none"/>
        <w:tab w:val="right" w:pos="8640" w:leader="none"/>
      </w:tabs>
    </w:pPr>
    <w:rPr/>
  </w:style>
  <w:style w:type="paragraph" w:styleId="CharCharCharCharCharChar1CharCharCharCharCharCharCharCharCharCharCharCharCharCharChar" w:customStyle="1">
    <w:name w:val="Char Char Char Char Char Char1 Char Char Char Char Char Char Char Char Char Char Char Char Char Char Char"/>
    <w:basedOn w:val="Normal"/>
    <w:semiHidden/>
    <w:qFormat/>
    <w:rsid w:val="00715895"/>
    <w:pPr>
      <w:spacing w:lineRule="exact" w:line="240" w:before="0" w:after="160"/>
    </w:pPr>
    <w:rPr>
      <w:rFonts w:ascii="Arial" w:hAnsi="Arial" w:cs="Arial"/>
      <w:sz w:val="22"/>
      <w:szCs w:val="22"/>
    </w:rPr>
  </w:style>
  <w:style w:type="paragraph" w:styleId="CharCharCharChar" w:customStyle="1">
    <w:name w:val="Char Char Char Char"/>
    <w:basedOn w:val="Normal"/>
    <w:qFormat/>
    <w:rsid w:val="005b4c42"/>
    <w:pPr>
      <w:spacing w:lineRule="exact" w:line="240" w:before="0" w:after="160"/>
    </w:pPr>
    <w:rPr>
      <w:rFonts w:ascii="Verdana" w:hAnsi="Verdana"/>
      <w:sz w:val="20"/>
      <w:szCs w:val="20"/>
    </w:rPr>
  </w:style>
  <w:style w:type="paragraph" w:styleId="NormalWeb">
    <w:name w:val="Normal (Web)"/>
    <w:basedOn w:val="Normal"/>
    <w:uiPriority w:val="99"/>
    <w:unhideWhenUsed/>
    <w:qFormat/>
    <w:rsid w:val="0037092d"/>
    <w:pPr>
      <w:spacing w:beforeAutospacing="1" w:afterAutospacing="1"/>
    </w:pPr>
    <w:rPr>
      <w:sz w:val="24"/>
      <w:szCs w:val="24"/>
    </w:rPr>
  </w:style>
  <w:style w:type="paragraph" w:styleId="Revision">
    <w:name w:val="Revision"/>
    <w:uiPriority w:val="99"/>
    <w:semiHidden/>
    <w:qFormat/>
    <w:rsid w:val="00c87c43"/>
    <w:pPr>
      <w:widowControl/>
      <w:bidi w:val="0"/>
      <w:spacing w:before="0" w:after="0"/>
      <w:jc w:val="left"/>
    </w:pPr>
    <w:rPr>
      <w:rFonts w:ascii="Times New Roman" w:hAnsi="Times New Roman" w:eastAsia="Times New Roman" w:cs="Times New Roman"/>
      <w:color w:val="auto"/>
      <w:kern w:val="0"/>
      <w:sz w:val="28"/>
      <w:szCs w:val="28"/>
      <w:lang w:val="en-US" w:eastAsia="en-US" w:bidi="ar-SA"/>
    </w:rPr>
  </w:style>
  <w:style w:type="paragraph" w:styleId="ListParagraph">
    <w:name w:val="List Paragraph"/>
    <w:basedOn w:val="Normal"/>
    <w:link w:val="ListParagraphChar"/>
    <w:uiPriority w:val="34"/>
    <w:qFormat/>
    <w:rsid w:val="0070155c"/>
    <w:pPr>
      <w:spacing w:lineRule="auto" w:line="259" w:before="0" w:after="160"/>
      <w:ind w:left="720"/>
      <w:contextualSpacing/>
    </w:pPr>
    <w:rPr>
      <w:rFonts w:ascii="Calibri" w:hAnsi="Calibri" w:eastAsia="Calibri" w:cs="" w:asciiTheme="minorHAnsi" w:cstheme="minorBidi" w:eastAsiaTheme="minorHAnsi" w:hAnsiTheme="minorHAnsi"/>
      <w:sz w:val="22"/>
      <w:szCs w:val="22"/>
    </w:rPr>
  </w:style>
  <w:style w:type="paragraph" w:styleId="BalloonText">
    <w:name w:val="Balloon Text"/>
    <w:basedOn w:val="Normal"/>
    <w:link w:val="BalloonTextChar"/>
    <w:semiHidden/>
    <w:unhideWhenUsed/>
    <w:qFormat/>
    <w:rsid w:val="00ea62ec"/>
    <w:pPr/>
    <w:rPr>
      <w:rFonts w:ascii="Tahoma" w:hAnsi="Tahoma" w:cs="Tahoma"/>
      <w:sz w:val="16"/>
      <w:szCs w:val="16"/>
    </w:rPr>
  </w:style>
  <w:style w:type="paragraph" w:styleId="CommentText">
    <w:name w:val="annotation text"/>
    <w:basedOn w:val="Normal"/>
    <w:link w:val="CommentTextChar"/>
    <w:uiPriority w:val="99"/>
    <w:unhideWhenUsed/>
    <w:rsid w:val="00ea7060"/>
    <w:pPr>
      <w:spacing w:before="0" w:after="160"/>
    </w:pPr>
    <w:rPr>
      <w:rFonts w:ascii="Calibri" w:hAnsi="Calibri" w:eastAsia="Calibri" w:cs="" w:asciiTheme="minorHAnsi" w:cstheme="minorBidi" w:eastAsiaTheme="minorHAnsi" w:hAnsiTheme="minorHAnsi"/>
      <w:kern w:val="2"/>
      <w:sz w:val="20"/>
      <w:szCs w:val="20"/>
      <w14:ligatures w14:val="standardContextual"/>
    </w:rPr>
  </w:style>
  <w:style w:type="paragraph" w:styleId="annotationsubject">
    <w:name w:val="annotation subject"/>
    <w:basedOn w:val="CommentText"/>
    <w:next w:val="CommentText"/>
    <w:link w:val="CommentSubjectChar"/>
    <w:semiHidden/>
    <w:unhideWhenUsed/>
    <w:qFormat/>
    <w:rsid w:val="00b924b1"/>
    <w:pPr>
      <w:spacing w:before="0" w:after="0"/>
    </w:pPr>
    <w:rPr>
      <w:rFonts w:ascii="Times New Roman" w:hAnsi="Times New Roman" w:eastAsia="Times New Roman" w:cs="Times New Roman"/>
      <w:b/>
      <w:bCs/>
      <w:kern w:val="0"/>
      <w14:ligatures w14:val="none"/>
    </w:rPr>
  </w:style>
  <w:style w:type="paragraph" w:styleId="TableParagraph" w:customStyle="1">
    <w:name w:val="Table Paragraph"/>
    <w:basedOn w:val="Normal"/>
    <w:uiPriority w:val="1"/>
    <w:qFormat/>
    <w:rsid w:val="00186524"/>
    <w:pPr>
      <w:widowControl w:val="false"/>
      <w:spacing w:lineRule="exact" w:line="258"/>
      <w:ind w:left="110"/>
      <w:jc w:val="center"/>
    </w:pPr>
    <w:rPr>
      <w:sz w:val="22"/>
      <w:szCs w:val="22"/>
      <w:lang w:val="vi-VN"/>
    </w:rPr>
  </w:style>
  <w:style w:type="paragraph" w:styleId="Normal1" w:customStyle="1">
    <w:name w:val="Normal1"/>
    <w:qFormat/>
    <w:rsid w:val="00b7206e"/>
    <w:pPr>
      <w:widowControl/>
      <w:bidi w:val="0"/>
      <w:spacing w:lineRule="auto" w:line="276" w:before="0" w:after="0"/>
      <w:jc w:val="left"/>
    </w:pPr>
    <w:rPr>
      <w:rFonts w:ascii="Arial" w:hAnsi="Arial" w:eastAsia="Arial" w:cs="Arial"/>
      <w:color w:val="000000"/>
      <w:kern w:val="0"/>
      <w:sz w:val="22"/>
      <w:szCs w:val="20"/>
      <w:lang w:val="en-US" w:eastAsia="en-US" w:bidi="ar-SA"/>
    </w:rPr>
  </w:style>
  <w:style w:type="paragraph" w:styleId="normal-p" w:customStyle="1">
    <w:name w:val="normal-p"/>
    <w:basedOn w:val="Normal"/>
    <w:qFormat/>
    <w:rsid w:val="006f2ffd"/>
    <w:pPr>
      <w:jc w:val="both"/>
    </w:pPr>
    <w:rPr>
      <w:sz w:val="20"/>
      <w:szCs w:val="20"/>
    </w:rPr>
  </w:style>
  <w:style w:type="paragraph" w:styleId="FrameContents">
    <w:name w:val="Frame Contents"/>
    <w:basedOn w:val="Normal"/>
    <w:qFormat/>
    <w:pPr/>
    <w:rPr/>
  </w:style>
  <w:style w:type="paragraph" w:styleId="HeaderLeft">
    <w:name w:val="Header Left"/>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0e2c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E86DF-6D25-44EC-928D-668958EC4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QD tang Co thi dua CP</Template>
  <TotalTime>7</TotalTime>
  <Application>LibreOffice/26.2.5.2$Windows_X86_64 LibreOffice_project/cd7284b4cbbfeb507e630c1aac019f4157393acb</Application>
  <AppVersion>15.0000</AppVersion>
  <Pages>8</Pages>
  <Words>6649</Words>
  <Characters>23342</Characters>
  <CharactersWithSpaces>29861</CharactersWithSpaces>
  <Paragraphs>395</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2026-09-17T04:44:00Z</dcterms:created>
  <dc:creator>msLe</dc:creator>
  <dc:description/>
  <dc:language>vi-VN</dc:language>
  <cp:lastModifiedBy>PC</cp:lastModifiedBy>
  <cp:lastPrinted>2026-09-17T04:42:00Z</cp:lastPrinted>
  <dcterms:modified xsi:type="dcterms:W3CDTF">2026-09-17T04:54:00Z</dcterms:modified>
  <cp:revision>3</cp:revision>
  <dc:subject/>
  <dc:title>THỦ TƯỚNG CHÍNH PHỦ</dc:title>
</cp:coreProperties>
</file>

<file path=docProps/custom.xml><?xml version="1.0" encoding="utf-8"?>
<Properties xmlns="http://schemas.openxmlformats.org/officeDocument/2006/custom-properties" xmlns:vt="http://schemas.openxmlformats.org/officeDocument/2006/docPropsVTypes"/>
</file>