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shd w:val="clear" w:color="auto" w:fill="FFFFFF"/>
        <w:tblCellMar>
          <w:left w:w="0" w:type="dxa"/>
          <w:right w:w="0" w:type="dxa"/>
        </w:tblCellMar>
        <w:tblLook w:val="04A0" w:firstRow="1" w:lastRow="0" w:firstColumn="1" w:lastColumn="0" w:noHBand="0" w:noVBand="1"/>
      </w:tblPr>
      <w:tblGrid>
        <w:gridCol w:w="5586"/>
        <w:gridCol w:w="4854"/>
      </w:tblGrid>
      <w:tr w:rsidR="00624179" w:rsidRPr="00624179" w:rsidTr="00624179">
        <w:tc>
          <w:tcPr>
            <w:tcW w:w="5385" w:type="dxa"/>
            <w:shd w:val="clear" w:color="auto" w:fill="FFFFFF"/>
            <w:tcMar>
              <w:top w:w="60" w:type="dxa"/>
              <w:left w:w="60" w:type="dxa"/>
              <w:bottom w:w="60" w:type="dxa"/>
              <w:right w:w="60" w:type="dxa"/>
            </w:tcMar>
            <w:vAlign w:val="center"/>
            <w:hideMark/>
          </w:tcPr>
          <w:p w:rsidR="00624179" w:rsidRPr="00624179" w:rsidRDefault="00624179" w:rsidP="00624179">
            <w:pPr>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14:ligatures w14:val="none"/>
              </w:rPr>
              <w:t>ĐẢNG BỘ KHỐI CÁC CƠ QUAN TPĐN</w:t>
            </w:r>
          </w:p>
          <w:p w:rsidR="00624179" w:rsidRPr="00624179" w:rsidRDefault="00624179" w:rsidP="00624179">
            <w:pPr>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ĐẢNG ỦY (CHI BỘ)............................</w:t>
            </w:r>
            <w:r w:rsidRPr="00624179">
              <w:rPr>
                <w:rFonts w:ascii="Times New Roman" w:eastAsia="Times New Roman" w:hAnsi="Times New Roman" w:cs="Times New Roman"/>
                <w:b/>
                <w:bCs/>
                <w:kern w:val="0"/>
                <w:sz w:val="26"/>
                <w:szCs w:val="26"/>
                <w:bdr w:val="none" w:sz="0" w:space="0" w:color="auto" w:frame="1"/>
                <w14:ligatures w14:val="none"/>
              </w:rPr>
              <w:br/>
              <w:t>*</w:t>
            </w:r>
            <w:r w:rsidRPr="00624179">
              <w:rPr>
                <w:rFonts w:ascii="Times New Roman" w:eastAsia="Times New Roman" w:hAnsi="Times New Roman" w:cs="Times New Roman"/>
                <w:b/>
                <w:bCs/>
                <w:kern w:val="0"/>
                <w:sz w:val="26"/>
                <w:szCs w:val="26"/>
                <w:bdr w:val="none" w:sz="0" w:space="0" w:color="auto" w:frame="1"/>
                <w14:ligatures w14:val="none"/>
              </w:rPr>
              <w:br/>
            </w:r>
            <w:r w:rsidRPr="00624179">
              <w:rPr>
                <w:rFonts w:ascii="Times New Roman" w:eastAsia="Times New Roman" w:hAnsi="Times New Roman" w:cs="Times New Roman"/>
                <w:kern w:val="0"/>
                <w:sz w:val="26"/>
                <w:szCs w:val="26"/>
                <w14:ligatures w14:val="none"/>
              </w:rPr>
              <w:t>Số -BC/ĐU (CB)</w:t>
            </w:r>
          </w:p>
        </w:tc>
        <w:tc>
          <w:tcPr>
            <w:tcW w:w="4680" w:type="dxa"/>
            <w:shd w:val="clear" w:color="auto" w:fill="FFFFFF"/>
            <w:tcMar>
              <w:top w:w="60" w:type="dxa"/>
              <w:left w:w="60" w:type="dxa"/>
              <w:bottom w:w="60" w:type="dxa"/>
              <w:right w:w="60" w:type="dxa"/>
            </w:tcMar>
            <w:vAlign w:val="center"/>
            <w:hideMark/>
          </w:tcPr>
          <w:p w:rsidR="00624179" w:rsidRPr="00624179" w:rsidRDefault="00624179" w:rsidP="00624179">
            <w:pPr>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ĐẢNG CỘNG SẢN VIỆT NAM</w:t>
            </w:r>
          </w:p>
          <w:p w:rsidR="00624179" w:rsidRPr="00624179" w:rsidRDefault="00624179" w:rsidP="00624179">
            <w:pPr>
              <w:spacing w:after="0" w:line="312" w:lineRule="auto"/>
              <w:jc w:val="right"/>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bdr w:val="none" w:sz="0" w:space="0" w:color="auto" w:frame="1"/>
                <w14:ligatures w14:val="none"/>
              </w:rPr>
              <w:t>.............., ngày ....tháng .....năm ......</w:t>
            </w:r>
          </w:p>
        </w:tc>
      </w:tr>
    </w:tbl>
    <w:p w:rsidR="00624179" w:rsidRPr="00624179" w:rsidRDefault="00624179" w:rsidP="00624179">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BÁO CÁO THÀNH TÍCH</w:t>
      </w:r>
    </w:p>
    <w:p w:rsidR="00624179" w:rsidRDefault="00624179" w:rsidP="00624179">
      <w:pPr>
        <w:shd w:val="clear" w:color="auto" w:fill="FFFFFF"/>
        <w:spacing w:after="0" w:line="312" w:lineRule="auto"/>
        <w:jc w:val="center"/>
        <w:rPr>
          <w:rFonts w:ascii="Times New Roman" w:eastAsia="Times New Roman" w:hAnsi="Times New Roman" w:cs="Times New Roman"/>
          <w:b/>
          <w:bCs/>
          <w:kern w:val="0"/>
          <w:sz w:val="26"/>
          <w:szCs w:val="26"/>
          <w:bdr w:val="none" w:sz="0" w:space="0" w:color="auto" w:frame="1"/>
          <w14:ligatures w14:val="none"/>
        </w:rPr>
      </w:pPr>
      <w:r w:rsidRPr="00624179">
        <w:rPr>
          <w:rFonts w:ascii="Times New Roman" w:eastAsia="Times New Roman" w:hAnsi="Times New Roman" w:cs="Times New Roman"/>
          <w:b/>
          <w:bCs/>
          <w:kern w:val="0"/>
          <w:sz w:val="26"/>
          <w:szCs w:val="26"/>
          <w:bdr w:val="none" w:sz="0" w:space="0" w:color="auto" w:frame="1"/>
          <w14:ligatures w14:val="none"/>
        </w:rPr>
        <w:t>Đề nghị khen thưởng tổ chức cơ sở đảng (tổ chức đảng)</w:t>
      </w:r>
      <w:r w:rsidRPr="00624179">
        <w:rPr>
          <w:rFonts w:ascii="Times New Roman" w:eastAsia="Times New Roman" w:hAnsi="Times New Roman" w:cs="Times New Roman"/>
          <w:b/>
          <w:bCs/>
          <w:kern w:val="0"/>
          <w:sz w:val="26"/>
          <w:szCs w:val="26"/>
          <w:bdr w:val="none" w:sz="0" w:space="0" w:color="auto" w:frame="1"/>
          <w14:ligatures w14:val="none"/>
        </w:rPr>
        <w:br/>
        <w:t>đạt tiêu chuẩn “Trong sạch, vững mạnh” tiêu biểu 5 năm liền ..........</w:t>
      </w:r>
    </w:p>
    <w:p w:rsidR="00624179" w:rsidRPr="00624179" w:rsidRDefault="00624179" w:rsidP="00624179">
      <w:pPr>
        <w:shd w:val="clear" w:color="auto" w:fill="FFFFFF"/>
        <w:spacing w:after="0" w:line="312" w:lineRule="auto"/>
        <w:jc w:val="center"/>
        <w:rPr>
          <w:rFonts w:ascii="Times New Roman" w:eastAsia="Times New Roman" w:hAnsi="Times New Roman" w:cs="Times New Roman"/>
          <w:kern w:val="0"/>
          <w:sz w:val="26"/>
          <w:szCs w:val="26"/>
          <w14:ligatures w14:val="none"/>
        </w:rPr>
      </w:pP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I. SƠ LƯỢC, ĐẶC ĐIỂM TÌNH HÌNH</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14:ligatures w14:val="none"/>
        </w:rPr>
        <w:t>Nêu khái quát về chức năng, nhiệm vụ của đơn vị, về số lượng chi bộ trực thuộc, số lượng đảng viên.</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II. THÀNH TÍCH ĐẠT ĐƯỢC </w:t>
      </w:r>
      <w:r w:rsidRPr="00624179">
        <w:rPr>
          <w:rFonts w:ascii="Times New Roman" w:eastAsia="Times New Roman" w:hAnsi="Times New Roman" w:cs="Times New Roman"/>
          <w:kern w:val="0"/>
          <w:sz w:val="26"/>
          <w:szCs w:val="26"/>
          <w14:ligatures w14:val="none"/>
        </w:rPr>
        <w:t>(</w:t>
      </w:r>
      <w:r w:rsidRPr="00624179">
        <w:rPr>
          <w:rFonts w:ascii="Times New Roman" w:eastAsia="Times New Roman" w:hAnsi="Times New Roman" w:cs="Times New Roman"/>
          <w:kern w:val="0"/>
          <w:sz w:val="26"/>
          <w:szCs w:val="26"/>
          <w:bdr w:val="none" w:sz="0" w:space="0" w:color="auto" w:frame="1"/>
          <w14:ligatures w14:val="none"/>
        </w:rPr>
        <w:t>báo cáo các thành tích đã đạt được từ ..........)</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1- Về lãnh đạo thực hiện nhiệm vụ chính trị:</w:t>
      </w:r>
      <w:r w:rsidRPr="00624179">
        <w:rPr>
          <w:rFonts w:ascii="Times New Roman" w:eastAsia="Times New Roman" w:hAnsi="Times New Roman" w:cs="Times New Roman"/>
          <w:kern w:val="0"/>
          <w:sz w:val="26"/>
          <w:szCs w:val="26"/>
          <w14:ligatures w14:val="none"/>
        </w:rPr>
        <w:t> Việc triển khai, cụ thể hóa và tổ chức thực hiện các chỉ thị, nghị quyết của Trung ương và nhiệm vụ được cấp ủy cấp trên giao; kết quả thực hiện 03 nhiệm vụ trọng tâm do BTV Thành ủy, UBND thành phố, ngành cấp trên giao; kết quả thực hiện các nhiệm vụ của cơ quan, đơn vị, doanh nghiệp.</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2- Về công tác chính trị tư tưởng:</w:t>
      </w:r>
      <w:r w:rsidRPr="00624179">
        <w:rPr>
          <w:rFonts w:ascii="Times New Roman" w:eastAsia="Times New Roman" w:hAnsi="Times New Roman" w:cs="Times New Roman"/>
          <w:kern w:val="0"/>
          <w:sz w:val="26"/>
          <w:szCs w:val="26"/>
          <w14:ligatures w14:val="none"/>
        </w:rPr>
        <w:t> Tuyên truyền, giáo dục chủ nghĩa Mác-Lênin, tư tưởng Hồ Chí Minh; quán triệt, thực hiện đường lối, chính sách của Đảng, pháp luật của Nhà nước và đấu tranh với những biểu hiện, hành vi sai trái; tuyên truyền, học tập và làm theo báo, tạp chí của Đảng.</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Việc triển khai thực hiện nghị quyết đại hội Đảng các cấp và nghị quyết đại hội Đảng cấp mình. Việc tổ chức cho cán bộ, đảng viên nghe thời sự, định hướng công tác tư tưởng.</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Xây dựng và thực hiện các tiêu chí về chuẩn mực đạo đức của cán bộ, đảng viên, định kỳ đánh giá kết quả và biểu dương các tập thể, cá nhân tiêu biểu trong học tập và làm theo tấm gương đạo đức Hồ Chí Minh.</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Việc triển khai thực hiện Chỉ thị 05-CT/TW ngày 15-5-2016 của Bộ Chính trị về đẩy mạnh học tập và làm theo tư tưởng, đạo đức, phong cách Hồ Chí Minh.</w:t>
      </w:r>
    </w:p>
    <w:p w:rsid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Việc triển khai thực hiện Nghị quyết số 04-NQ/TW ngày 30/10/2016 về “Tăng cường xây dựng, chỉnh đốn Đảng; ngặn chặn, đẩy lùi sự suy thoái về tư tưởng chính trị, đạo đức, lối sống, những biểu hiện “tự diễn biến”, “tự chuyển hóa” trong nội bộ”</w:t>
      </w:r>
      <w:r>
        <w:rPr>
          <w:sz w:val="26"/>
          <w:szCs w:val="26"/>
        </w:rPr>
        <w:t>.</w:t>
      </w:r>
      <w:r w:rsidRPr="00624179">
        <w:rPr>
          <w:sz w:val="26"/>
          <w:szCs w:val="26"/>
        </w:rPr>
        <w:t xml:space="preserve"> </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rStyle w:val="Strong"/>
          <w:rFonts w:eastAsiaTheme="majorEastAsia"/>
          <w:sz w:val="26"/>
          <w:szCs w:val="26"/>
          <w:bdr w:val="none" w:sz="0" w:space="0" w:color="auto" w:frame="1"/>
        </w:rPr>
        <w:t>3- Về công tác tổ chức, cán bộ và xây dựng đảng bộ, chi bộ:</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Kết quả lãnh đạo và thực hiện công tác tổ chức, cán bộ, đảng viên, bảo vệ chính trị nội bộ.</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lastRenderedPageBreak/>
        <w:t>Việc thực hiện các nguyên tắc tổ chức và sinh hoạt đảng, nhất là nguyên tắc tập trung dân chủ; việc tổ chức thực hiện và kết quả thực hiện quy chế làm việc của cấp ủy (đảng ủy cơ sở, đảng ủy bộ phận và chi bộ có cấp ủy), quy chế làm việc của chi bộ (chi bộ không có cấp ủy); quy chế phối hợp hoạt động giữa cấp ủy đảng, chính quyền và tổ chức đoàn thể (đảng ủy cơ sở, chi bộ cơ sở, đảng ủy bộ phận và chi bộ trực thuộc mà cơ quan, đơn vị chính quyền có tư cách pháp nhân);</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 xml:space="preserve">Đổi mới phương thức lãnh đạo; duy trì và nâng cao chất lượng họp đảng bộ, sinh hoạt cấp uỷ, sinh hoạt chi bộ, sinh hoạt chuyên đề theo quy định </w:t>
      </w:r>
      <w:r w:rsidRPr="00624179">
        <w:rPr>
          <w:sz w:val="26"/>
          <w:szCs w:val="26"/>
        </w:rPr>
        <w:t>pháp luật.</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Xây dựng, củng cố và kiện toàn đội ngũ cấp ủy viên và bí thư chi bộ; thành lập, sắp xếp lại, giải thể, chuyển giao các chi bộ trực thuộc; quản lý, phân công công tác cho đảng viên theo quy định; quản lý cán bộ, đảng viên đi công tác nước ngoài; công tác tạo nguồn và kết nạp đảng viên, công nhận đảng viên chính thức, phát thẻ đảng viên; giới thiệu đảng viên đang công tác giữ mối liên hệ với cấp ủy nơi cư trú;</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Kết quả thực hiện công tác cải cách hành chính và công tác thi đua, khen thưởng của đảng bộ, chi bộ.</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rStyle w:val="Strong"/>
          <w:rFonts w:eastAsiaTheme="majorEastAsia"/>
          <w:sz w:val="26"/>
          <w:szCs w:val="26"/>
          <w:bdr w:val="none" w:sz="0" w:space="0" w:color="auto" w:frame="1"/>
        </w:rPr>
        <w:t>4- Về lãnh đạo xây dựng chính quyền (cơ quan, đơn vị, doanh nghiệp) và các đoàn thể chính trị - xã hội: </w:t>
      </w:r>
      <w:r w:rsidRPr="00624179">
        <w:rPr>
          <w:sz w:val="26"/>
          <w:szCs w:val="26"/>
        </w:rPr>
        <w:t>Lãnh đạo xây dựng các tổ chức trong hệ thống chính trị vững mạnh; phát huy hiệu lực, hiệu quả quản lý của chính quyền cùng cấp, xem xét, giải quyết những vấn đề nảy sinh ở cơ sở; củng cố mối quan hệ giữa các tổ chức và khối đại đoàn kết toàn dân; kiểm tra, giám sát đối với hoạt động của chính quyền, tổ chức, cơ quan, đơn vị, doanh nghiệp.</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rStyle w:val="Strong"/>
          <w:rFonts w:eastAsiaTheme="majorEastAsia"/>
          <w:sz w:val="26"/>
          <w:szCs w:val="26"/>
          <w:bdr w:val="none" w:sz="0" w:space="0" w:color="auto" w:frame="1"/>
        </w:rPr>
        <w:t>5- Về c</w:t>
      </w:r>
      <w:r w:rsidRPr="00624179">
        <w:rPr>
          <w:rStyle w:val="Emphasis"/>
          <w:rFonts w:eastAsiaTheme="majorEastAsia"/>
          <w:b/>
          <w:bCs/>
          <w:i w:val="0"/>
          <w:iCs w:val="0"/>
          <w:sz w:val="26"/>
          <w:szCs w:val="26"/>
          <w:bdr w:val="none" w:sz="0" w:space="0" w:color="auto" w:frame="1"/>
        </w:rPr>
        <w:t>ông tác kiểm tra, giám sát và kỷ luật đảng</w:t>
      </w:r>
      <w:r w:rsidRPr="00624179">
        <w:rPr>
          <w:rStyle w:val="Strong"/>
          <w:rFonts w:eastAsiaTheme="majorEastAsia"/>
          <w:sz w:val="26"/>
          <w:szCs w:val="26"/>
          <w:bdr w:val="none" w:sz="0" w:space="0" w:color="auto" w:frame="1"/>
        </w:rPr>
        <w:t>:</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sz w:val="26"/>
          <w:szCs w:val="26"/>
        </w:rPr>
        <w:t>Kết quả thực hiện kế hoạch kiểm tra, giám sát của cấp ủy, ủy ban kiểm tra và công tác tự kiểm tra, giám sát của đảng bộ, chi bộ. Công tác phòng, chống quan liêu, tham nhũng, lãng phí, tiêu cực; giải quyết đơn thư khiếu nại, tố cáo; phát hiện, xử lý tổ chức đảng, đảng viên vi phạm.</w:t>
      </w:r>
    </w:p>
    <w:p w:rsidR="00624179" w:rsidRPr="00624179" w:rsidRDefault="00624179" w:rsidP="00624179">
      <w:pPr>
        <w:pStyle w:val="NormalWeb"/>
        <w:shd w:val="clear" w:color="auto" w:fill="FFFFFF"/>
        <w:spacing w:before="0" w:beforeAutospacing="0" w:after="0" w:afterAutospacing="0" w:line="312" w:lineRule="auto"/>
        <w:jc w:val="both"/>
        <w:rPr>
          <w:sz w:val="26"/>
          <w:szCs w:val="26"/>
        </w:rPr>
      </w:pPr>
      <w:r w:rsidRPr="00624179">
        <w:rPr>
          <w:rStyle w:val="Strong"/>
          <w:rFonts w:eastAsiaTheme="majorEastAsia"/>
          <w:sz w:val="26"/>
          <w:szCs w:val="26"/>
          <w:bdr w:val="none" w:sz="0" w:space="0" w:color="auto" w:frame="1"/>
        </w:rPr>
        <w:t>6-</w:t>
      </w:r>
      <w:r w:rsidRPr="00624179">
        <w:rPr>
          <w:rStyle w:val="Emphasis"/>
          <w:rFonts w:eastAsiaTheme="majorEastAsia"/>
          <w:b/>
          <w:bCs/>
          <w:i w:val="0"/>
          <w:iCs w:val="0"/>
          <w:sz w:val="26"/>
          <w:szCs w:val="26"/>
          <w:bdr w:val="none" w:sz="0" w:space="0" w:color="auto" w:frame="1"/>
        </w:rPr>
        <w:t> Về công tác dân vận của Đảng, chính quyền</w:t>
      </w:r>
      <w:r w:rsidRPr="00624179">
        <w:rPr>
          <w:rStyle w:val="Strong"/>
          <w:rFonts w:eastAsiaTheme="majorEastAsia"/>
          <w:sz w:val="26"/>
          <w:szCs w:val="26"/>
          <w:bdr w:val="none" w:sz="0" w:space="0" w:color="auto" w:frame="1"/>
        </w:rPr>
        <w:t>:</w:t>
      </w:r>
      <w:r w:rsidRPr="00624179">
        <w:rPr>
          <w:sz w:val="26"/>
          <w:szCs w:val="26"/>
        </w:rPr>
        <w:t xml:space="preserve"> Việc thực hiện các quy định của pháp luật về Quy chế dân chủ ở cơ sở; trách nhiệm của cán bộ, đảng viên ở cơ quan, đơn vị, doanh nghiệp trong việc thực hiện công tác dân vận; kết quả trong lãnh đạo, chỉ đạo </w:t>
      </w:r>
      <w:r>
        <w:rPr>
          <w:sz w:val="26"/>
          <w:szCs w:val="26"/>
        </w:rPr>
        <w:t>theo quy định pháp luật.</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7- Ngoài ra, </w:t>
      </w:r>
      <w:r w:rsidRPr="00624179">
        <w:rPr>
          <w:rFonts w:ascii="Times New Roman" w:eastAsia="Times New Roman" w:hAnsi="Times New Roman" w:cs="Times New Roman"/>
          <w:kern w:val="0"/>
          <w:sz w:val="26"/>
          <w:szCs w:val="26"/>
          <w:bdr w:val="none" w:sz="0" w:space="0" w:color="auto" w:frame="1"/>
          <w14:ligatures w14:val="none"/>
        </w:rPr>
        <w:t xml:space="preserve">phải nêu rõ các số </w:t>
      </w:r>
      <w:r>
        <w:rPr>
          <w:rFonts w:ascii="Times New Roman" w:eastAsia="Times New Roman" w:hAnsi="Times New Roman" w:cs="Times New Roman"/>
          <w:kern w:val="0"/>
          <w:sz w:val="26"/>
          <w:szCs w:val="26"/>
          <w:bdr w:val="none" w:sz="0" w:space="0" w:color="auto" w:frame="1"/>
          <w14:ligatures w14:val="none"/>
        </w:rPr>
        <w:t xml:space="preserve">liệu </w:t>
      </w:r>
      <w:r w:rsidRPr="00624179">
        <w:rPr>
          <w:rFonts w:ascii="Times New Roman" w:eastAsia="Times New Roman" w:hAnsi="Times New Roman" w:cs="Times New Roman"/>
          <w:kern w:val="0"/>
          <w:sz w:val="26"/>
          <w:szCs w:val="26"/>
          <w:bdr w:val="none" w:sz="0" w:space="0" w:color="auto" w:frame="1"/>
          <w14:ligatures w14:val="none"/>
        </w:rPr>
        <w:t xml:space="preserve">cụ thể như sau: Số tổ chức đảng tham gia đánh giá, số chưa đánh giá (lý do); số tổ chức đảng đạt trong sạch, vững mạnh, hoàn thành tốt nhiệm vụ, hoàn thành nhiệm vụ và yếu kém, tỷ lệ % của từng mức xếp loại; tổng số đảng viên, số </w:t>
      </w:r>
      <w:r w:rsidRPr="00624179">
        <w:rPr>
          <w:rFonts w:ascii="Times New Roman" w:eastAsia="Times New Roman" w:hAnsi="Times New Roman" w:cs="Times New Roman"/>
          <w:kern w:val="0"/>
          <w:sz w:val="26"/>
          <w:szCs w:val="26"/>
          <w:bdr w:val="none" w:sz="0" w:space="0" w:color="auto" w:frame="1"/>
          <w14:ligatures w14:val="none"/>
        </w:rPr>
        <w:lastRenderedPageBreak/>
        <w:t>đảng viên miễn sinh hoạt đảng không đánh giá, số đảng viên chưa đánh giá (lý do), số đảng viên hoàn thành xuất sắc nhiệm vụ, hoàn thành tốt nhiệm vụ, hoàn thành nhiệm vụ, và không hoàn thành nhiệm vụ, tỷ lệ % của từng mức xếp loại; số đảng viên mới kết nạp trong năm (so với nghị quyết năm); xếp loại của các tổ chức chính trị - xã hội.</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bdr w:val="none" w:sz="0" w:space="0" w:color="auto" w:frame="1"/>
          <w14:ligatures w14:val="none"/>
        </w:rPr>
        <w:t>Riêng đối với tổ chức đảng trong các doanh nghiệp sản xuất - kinh doanh phải làm rõ </w:t>
      </w:r>
      <w:r w:rsidRPr="00624179">
        <w:rPr>
          <w:rFonts w:ascii="Times New Roman" w:eastAsia="Times New Roman" w:hAnsi="Times New Roman" w:cs="Times New Roman"/>
          <w:b/>
          <w:bCs/>
          <w:kern w:val="0"/>
          <w:sz w:val="26"/>
          <w:szCs w:val="26"/>
          <w:bdr w:val="none" w:sz="0" w:space="0" w:color="auto" w:frame="1"/>
          <w14:ligatures w14:val="none"/>
        </w:rPr>
        <w:t>thêm</w:t>
      </w:r>
      <w:r w:rsidRPr="00624179">
        <w:rPr>
          <w:rFonts w:ascii="Times New Roman" w:eastAsia="Times New Roman" w:hAnsi="Times New Roman" w:cs="Times New Roman"/>
          <w:kern w:val="0"/>
          <w:sz w:val="26"/>
          <w:szCs w:val="26"/>
          <w:bdr w:val="none" w:sz="0" w:space="0" w:color="auto" w:frame="1"/>
          <w14:ligatures w14:val="none"/>
        </w:rPr>
        <w:t> số liệu về tổng doanh thu hoặc tổng giá trị sản xuất - kinh doanh, tỷ lệ % (so với kế hoạch năm); lợi nhuận sau thuế, tỷ lệ % (so với kế hoạch năm); thu nhập bình quân đầu người/tháng; thực hiện nghĩa vụ nộp thuế Nhà nước, tỷ lệ % (so với kế hoạch năm); nghĩa vụ đóng BHXH cho người lao động; thực hiện tốt an toàn lao động, không để xảy ra chết người (nếu có phải có báo cáo giải trình).</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14:ligatures w14:val="none"/>
        </w:rPr>
        <w:t>Trên đây là báo cáo thành tích của đảng bộ (chi bộ)……………. trong 5 năm ........... Kính đề nghị Ban Thường vụ Đảng ủy Khối các cơ quan thành phố, Ban Thường vụ Thành ủy xét khen thưởng.</w:t>
      </w:r>
    </w:p>
    <w:tbl>
      <w:tblPr>
        <w:tblW w:w="5000" w:type="pct"/>
        <w:shd w:val="clear" w:color="auto" w:fill="FFFFFF"/>
        <w:tblCellMar>
          <w:left w:w="0" w:type="dxa"/>
          <w:right w:w="0" w:type="dxa"/>
        </w:tblCellMar>
        <w:tblLook w:val="04A0" w:firstRow="1" w:lastRow="0" w:firstColumn="1" w:lastColumn="0" w:noHBand="0" w:noVBand="1"/>
      </w:tblPr>
      <w:tblGrid>
        <w:gridCol w:w="4444"/>
        <w:gridCol w:w="4916"/>
      </w:tblGrid>
      <w:tr w:rsidR="00624179" w:rsidRPr="00624179" w:rsidTr="00624179">
        <w:tc>
          <w:tcPr>
            <w:tcW w:w="4560" w:type="dxa"/>
            <w:shd w:val="clear" w:color="auto" w:fill="FFFFFF"/>
            <w:tcMar>
              <w:top w:w="60" w:type="dxa"/>
              <w:left w:w="60" w:type="dxa"/>
              <w:bottom w:w="60" w:type="dxa"/>
              <w:right w:w="60" w:type="dxa"/>
            </w:tcMar>
            <w:vAlign w:val="center"/>
            <w:hideMark/>
          </w:tcPr>
          <w:p w:rsidR="00624179" w:rsidRPr="00624179" w:rsidRDefault="00624179" w:rsidP="00624179">
            <w:pPr>
              <w:spacing w:after="0" w:line="312" w:lineRule="auto"/>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u w:val="single"/>
                <w:bdr w:val="none" w:sz="0" w:space="0" w:color="auto" w:frame="1"/>
                <w14:ligatures w14:val="none"/>
              </w:rPr>
              <w:t>Nơi nhận:</w:t>
            </w:r>
          </w:p>
          <w:p w:rsidR="00624179" w:rsidRPr="00624179" w:rsidRDefault="00624179" w:rsidP="00624179">
            <w:pPr>
              <w:spacing w:after="0" w:line="312" w:lineRule="auto"/>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14:ligatures w14:val="none"/>
              </w:rPr>
              <w:t>- BTV Đảng ủy Khối,</w:t>
            </w:r>
          </w:p>
          <w:p w:rsidR="00624179" w:rsidRPr="00624179" w:rsidRDefault="00624179" w:rsidP="00624179">
            <w:pPr>
              <w:spacing w:after="0" w:line="312" w:lineRule="auto"/>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kern w:val="0"/>
                <w:sz w:val="26"/>
                <w:szCs w:val="26"/>
                <w14:ligatures w14:val="none"/>
              </w:rPr>
              <w:t>- Lưu.</w:t>
            </w:r>
          </w:p>
        </w:tc>
        <w:tc>
          <w:tcPr>
            <w:tcW w:w="5040" w:type="dxa"/>
            <w:shd w:val="clear" w:color="auto" w:fill="FFFFFF"/>
            <w:tcMar>
              <w:top w:w="60" w:type="dxa"/>
              <w:left w:w="60" w:type="dxa"/>
              <w:bottom w:w="60" w:type="dxa"/>
              <w:right w:w="60" w:type="dxa"/>
            </w:tcMar>
            <w:vAlign w:val="center"/>
            <w:hideMark/>
          </w:tcPr>
          <w:p w:rsidR="00624179" w:rsidRPr="00624179" w:rsidRDefault="00624179" w:rsidP="00624179">
            <w:pPr>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T/M ĐẢNG ỦY (CHI BỘ)</w:t>
            </w:r>
          </w:p>
          <w:p w:rsidR="00624179" w:rsidRPr="00624179" w:rsidRDefault="00624179" w:rsidP="00624179">
            <w:pPr>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BÍ THƯ</w:t>
            </w:r>
          </w:p>
        </w:tc>
      </w:tr>
    </w:tbl>
    <w:p w:rsidR="00624179" w:rsidRPr="00624179" w:rsidRDefault="00624179" w:rsidP="00624179">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XÁC NHẬN VÀ ĐỀ NGHỊ CỦA ĐẢNG ỦY CƠ SỞ</w:t>
      </w:r>
    </w:p>
    <w:p w:rsidR="00624179" w:rsidRPr="00624179" w:rsidRDefault="00624179" w:rsidP="00624179">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w:t>
      </w:r>
      <w:r w:rsidRPr="00624179">
        <w:rPr>
          <w:rFonts w:ascii="Times New Roman" w:eastAsia="Times New Roman" w:hAnsi="Times New Roman" w:cs="Times New Roman"/>
          <w:kern w:val="0"/>
          <w:sz w:val="26"/>
          <w:szCs w:val="26"/>
          <w14:ligatures w14:val="none"/>
        </w:rPr>
        <w:t>nếu là chi bộ trực thuộc hoặc đảng bộ bộ phận báo cáo đề nghị khen thưởng 5 năm liền</w:t>
      </w:r>
      <w:r w:rsidRPr="00624179">
        <w:rPr>
          <w:rFonts w:ascii="Times New Roman" w:eastAsia="Times New Roman" w:hAnsi="Times New Roman" w:cs="Times New Roman"/>
          <w:b/>
          <w:bCs/>
          <w:kern w:val="0"/>
          <w:sz w:val="26"/>
          <w:szCs w:val="26"/>
          <w:bdr w:val="none" w:sz="0" w:space="0" w:color="auto" w:frame="1"/>
          <w14:ligatures w14:val="none"/>
        </w:rPr>
        <w:t>)</w:t>
      </w:r>
    </w:p>
    <w:p w:rsidR="00624179" w:rsidRPr="00624179" w:rsidRDefault="00624179" w:rsidP="00624179">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624179">
        <w:rPr>
          <w:rFonts w:ascii="Times New Roman" w:eastAsia="Times New Roman" w:hAnsi="Times New Roman" w:cs="Times New Roman"/>
          <w:b/>
          <w:bCs/>
          <w:kern w:val="0"/>
          <w:sz w:val="26"/>
          <w:szCs w:val="26"/>
          <w:bdr w:val="none" w:sz="0" w:space="0" w:color="auto" w:frame="1"/>
          <w14:ligatures w14:val="none"/>
        </w:rPr>
        <w:t>Ghi chú: </w:t>
      </w:r>
      <w:r w:rsidRPr="00624179">
        <w:rPr>
          <w:rFonts w:ascii="Times New Roman" w:eastAsia="Times New Roman" w:hAnsi="Times New Roman" w:cs="Times New Roman"/>
          <w:kern w:val="0"/>
          <w:sz w:val="26"/>
          <w:szCs w:val="26"/>
          <w14:ligatures w14:val="none"/>
        </w:rPr>
        <w:t>Đối với tổ chức đảng trong các doanh nghiệp sản xuất - kinh doanh </w:t>
      </w:r>
      <w:r w:rsidRPr="00624179">
        <w:rPr>
          <w:rFonts w:ascii="Times New Roman" w:eastAsia="Times New Roman" w:hAnsi="Times New Roman" w:cs="Times New Roman"/>
          <w:b/>
          <w:bCs/>
          <w:kern w:val="0"/>
          <w:sz w:val="26"/>
          <w:szCs w:val="26"/>
          <w:bdr w:val="none" w:sz="0" w:space="0" w:color="auto" w:frame="1"/>
          <w14:ligatures w14:val="none"/>
        </w:rPr>
        <w:t>phải gửi kèm</w:t>
      </w:r>
      <w:r w:rsidRPr="00624179">
        <w:rPr>
          <w:rFonts w:ascii="Times New Roman" w:eastAsia="Times New Roman" w:hAnsi="Times New Roman" w:cs="Times New Roman"/>
          <w:kern w:val="0"/>
          <w:sz w:val="26"/>
          <w:szCs w:val="26"/>
          <w:bdr w:val="none" w:sz="0" w:space="0" w:color="auto" w:frame="1"/>
          <w14:ligatures w14:val="none"/>
        </w:rPr>
        <w:t> </w:t>
      </w:r>
      <w:r w:rsidRPr="00624179">
        <w:rPr>
          <w:rFonts w:ascii="Times New Roman" w:eastAsia="Times New Roman" w:hAnsi="Times New Roman" w:cs="Times New Roman"/>
          <w:b/>
          <w:bCs/>
          <w:kern w:val="0"/>
          <w:sz w:val="26"/>
          <w:szCs w:val="26"/>
          <w:bdr w:val="none" w:sz="0" w:space="0" w:color="auto" w:frame="1"/>
          <w14:ligatures w14:val="none"/>
        </w:rPr>
        <w:t>Giấy xác nhận</w:t>
      </w:r>
      <w:r w:rsidRPr="00624179">
        <w:rPr>
          <w:rFonts w:ascii="Times New Roman" w:eastAsia="Times New Roman" w:hAnsi="Times New Roman" w:cs="Times New Roman"/>
          <w:kern w:val="0"/>
          <w:sz w:val="26"/>
          <w:szCs w:val="26"/>
          <w14:ligatures w14:val="none"/>
        </w:rPr>
        <w:t> đã hoàn thành nghĩa vụ thuế Nhà nước đến thời điểm đề nghị xét khen thưởng của Cục thuế hoặc Chi Cục thuế mà đơn vị đang thực hiện nghĩa vụ nộp thuế và nghĩa vụ đóng BHXH cho người lao động.</w:t>
      </w:r>
    </w:p>
    <w:p w:rsidR="005B417D" w:rsidRPr="00624179" w:rsidRDefault="005B417D" w:rsidP="00624179">
      <w:pPr>
        <w:spacing w:after="0" w:line="312" w:lineRule="auto"/>
        <w:rPr>
          <w:rFonts w:ascii="Times New Roman" w:hAnsi="Times New Roman" w:cs="Times New Roman"/>
          <w:sz w:val="26"/>
          <w:szCs w:val="26"/>
        </w:rPr>
      </w:pPr>
    </w:p>
    <w:sectPr w:rsidR="005B417D" w:rsidRPr="00624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79"/>
    <w:rsid w:val="00353647"/>
    <w:rsid w:val="005B417D"/>
    <w:rsid w:val="00624179"/>
    <w:rsid w:val="0071134A"/>
    <w:rsid w:val="00E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A61C"/>
  <w15:chartTrackingRefBased/>
  <w15:docId w15:val="{E0098056-9C15-4250-8C33-BC6D067D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179"/>
    <w:rPr>
      <w:rFonts w:eastAsiaTheme="majorEastAsia" w:cstheme="majorBidi"/>
      <w:color w:val="272727" w:themeColor="text1" w:themeTint="D8"/>
    </w:rPr>
  </w:style>
  <w:style w:type="paragraph" w:styleId="Title">
    <w:name w:val="Title"/>
    <w:basedOn w:val="Normal"/>
    <w:next w:val="Normal"/>
    <w:link w:val="TitleChar"/>
    <w:uiPriority w:val="10"/>
    <w:qFormat/>
    <w:rsid w:val="00624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179"/>
    <w:pPr>
      <w:spacing w:before="160"/>
      <w:jc w:val="center"/>
    </w:pPr>
    <w:rPr>
      <w:i/>
      <w:iCs/>
      <w:color w:val="404040" w:themeColor="text1" w:themeTint="BF"/>
    </w:rPr>
  </w:style>
  <w:style w:type="character" w:customStyle="1" w:styleId="QuoteChar">
    <w:name w:val="Quote Char"/>
    <w:basedOn w:val="DefaultParagraphFont"/>
    <w:link w:val="Quote"/>
    <w:uiPriority w:val="29"/>
    <w:rsid w:val="00624179"/>
    <w:rPr>
      <w:i/>
      <w:iCs/>
      <w:color w:val="404040" w:themeColor="text1" w:themeTint="BF"/>
    </w:rPr>
  </w:style>
  <w:style w:type="paragraph" w:styleId="ListParagraph">
    <w:name w:val="List Paragraph"/>
    <w:basedOn w:val="Normal"/>
    <w:uiPriority w:val="34"/>
    <w:qFormat/>
    <w:rsid w:val="00624179"/>
    <w:pPr>
      <w:ind w:left="720"/>
      <w:contextualSpacing/>
    </w:pPr>
  </w:style>
  <w:style w:type="character" w:styleId="IntenseEmphasis">
    <w:name w:val="Intense Emphasis"/>
    <w:basedOn w:val="DefaultParagraphFont"/>
    <w:uiPriority w:val="21"/>
    <w:qFormat/>
    <w:rsid w:val="00624179"/>
    <w:rPr>
      <w:i/>
      <w:iCs/>
      <w:color w:val="0F4761" w:themeColor="accent1" w:themeShade="BF"/>
    </w:rPr>
  </w:style>
  <w:style w:type="paragraph" w:styleId="IntenseQuote">
    <w:name w:val="Intense Quote"/>
    <w:basedOn w:val="Normal"/>
    <w:next w:val="Normal"/>
    <w:link w:val="IntenseQuoteChar"/>
    <w:uiPriority w:val="30"/>
    <w:qFormat/>
    <w:rsid w:val="00624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179"/>
    <w:rPr>
      <w:i/>
      <w:iCs/>
      <w:color w:val="0F4761" w:themeColor="accent1" w:themeShade="BF"/>
    </w:rPr>
  </w:style>
  <w:style w:type="character" w:styleId="IntenseReference">
    <w:name w:val="Intense Reference"/>
    <w:basedOn w:val="DefaultParagraphFont"/>
    <w:uiPriority w:val="32"/>
    <w:qFormat/>
    <w:rsid w:val="00624179"/>
    <w:rPr>
      <w:b/>
      <w:bCs/>
      <w:smallCaps/>
      <w:color w:val="0F4761" w:themeColor="accent1" w:themeShade="BF"/>
      <w:spacing w:val="5"/>
    </w:rPr>
  </w:style>
  <w:style w:type="paragraph" w:styleId="NormalWeb">
    <w:name w:val="Normal (Web)"/>
    <w:basedOn w:val="Normal"/>
    <w:uiPriority w:val="99"/>
    <w:semiHidden/>
    <w:unhideWhenUsed/>
    <w:rsid w:val="006241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4179"/>
    <w:rPr>
      <w:b/>
      <w:bCs/>
    </w:rPr>
  </w:style>
  <w:style w:type="character" w:styleId="Emphasis">
    <w:name w:val="Emphasis"/>
    <w:basedOn w:val="DefaultParagraphFont"/>
    <w:uiPriority w:val="20"/>
    <w:qFormat/>
    <w:rsid w:val="00624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61822">
      <w:bodyDiv w:val="1"/>
      <w:marLeft w:val="0"/>
      <w:marRight w:val="0"/>
      <w:marTop w:val="0"/>
      <w:marBottom w:val="0"/>
      <w:divBdr>
        <w:top w:val="none" w:sz="0" w:space="0" w:color="auto"/>
        <w:left w:val="none" w:sz="0" w:space="0" w:color="auto"/>
        <w:bottom w:val="none" w:sz="0" w:space="0" w:color="auto"/>
        <w:right w:val="none" w:sz="0" w:space="0" w:color="auto"/>
      </w:divBdr>
    </w:div>
    <w:div w:id="518082812">
      <w:bodyDiv w:val="1"/>
      <w:marLeft w:val="0"/>
      <w:marRight w:val="0"/>
      <w:marTop w:val="0"/>
      <w:marBottom w:val="0"/>
      <w:divBdr>
        <w:top w:val="none" w:sz="0" w:space="0" w:color="auto"/>
        <w:left w:val="none" w:sz="0" w:space="0" w:color="auto"/>
        <w:bottom w:val="none" w:sz="0" w:space="0" w:color="auto"/>
        <w:right w:val="none" w:sz="0" w:space="0" w:color="auto"/>
      </w:divBdr>
    </w:div>
    <w:div w:id="783429391">
      <w:bodyDiv w:val="1"/>
      <w:marLeft w:val="0"/>
      <w:marRight w:val="0"/>
      <w:marTop w:val="0"/>
      <w:marBottom w:val="0"/>
      <w:divBdr>
        <w:top w:val="none" w:sz="0" w:space="0" w:color="auto"/>
        <w:left w:val="none" w:sz="0" w:space="0" w:color="auto"/>
        <w:bottom w:val="none" w:sz="0" w:space="0" w:color="auto"/>
        <w:right w:val="none" w:sz="0" w:space="0" w:color="auto"/>
      </w:divBdr>
    </w:div>
    <w:div w:id="15239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2024-12-03T04:04:00Z</dcterms:created>
  <dcterms:modified xsi:type="dcterms:W3CDTF">2024-12-03T04:10:00Z</dcterms:modified>
</cp:coreProperties>
</file>