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5942" w:rsidRPr="00DE5942" w:rsidRDefault="00DE5942" w:rsidP="00DE5942">
      <w:pPr>
        <w:shd w:val="clear" w:color="auto" w:fill="FFFFFF"/>
        <w:spacing w:before="120" w:after="120" w:line="234" w:lineRule="atLeast"/>
        <w:jc w:val="righ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b/>
          <w:bCs/>
          <w:color w:val="000000"/>
          <w:kern w:val="0"/>
          <w14:ligatures w14:val="none"/>
        </w:rPr>
        <w:t>Mẫu số 02C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DE5942" w:rsidRPr="00DE5942" w:rsidTr="00DE5942">
        <w:trPr>
          <w:tblCellSpacing w:w="0" w:type="dxa"/>
        </w:trPr>
        <w:tc>
          <w:tcPr>
            <w:tcW w:w="1950" w:type="pct"/>
            <w:shd w:val="clear" w:color="auto" w:fill="FFFFFF"/>
            <w:tcMar>
              <w:top w:w="0" w:type="dxa"/>
              <w:left w:w="108" w:type="dxa"/>
              <w:bottom w:w="0" w:type="dxa"/>
              <w:right w:w="108" w:type="dxa"/>
            </w:tcMar>
            <w:hideMark/>
          </w:tcPr>
          <w:p w:rsidR="00DE5942" w:rsidRPr="00DE5942" w:rsidRDefault="00DE5942" w:rsidP="00DE5942">
            <w:pPr>
              <w:spacing w:before="120" w:after="120" w:line="234" w:lineRule="atLeast"/>
              <w:jc w:val="center"/>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BỘ GTVT</w:t>
            </w:r>
            <w:r w:rsidRPr="00DE5942">
              <w:rPr>
                <w:rFonts w:ascii="Times New Roman" w:eastAsia="Times New Roman" w:hAnsi="Times New Roman" w:cs="Times New Roman"/>
                <w:color w:val="222222"/>
                <w:kern w:val="0"/>
                <w14:ligatures w14:val="none"/>
              </w:rPr>
              <w:br/>
            </w:r>
            <w:r w:rsidRPr="00DE5942">
              <w:rPr>
                <w:rFonts w:ascii="Times New Roman" w:eastAsia="Times New Roman" w:hAnsi="Times New Roman" w:cs="Times New Roman"/>
                <w:b/>
                <w:bCs/>
                <w:color w:val="000000"/>
                <w:kern w:val="0"/>
                <w14:ligatures w14:val="none"/>
              </w:rPr>
              <w:t>TÊN DOANH NGHIỆP QUẢN LÝ TÀI SẢN ĐƯỜNG SẮT QUỐC GIA</w:t>
            </w:r>
            <w:r w:rsidRPr="00DE5942">
              <w:rPr>
                <w:rFonts w:ascii="Times New Roman" w:eastAsia="Times New Roman" w:hAnsi="Times New Roman" w:cs="Times New Roman"/>
                <w:b/>
                <w:bCs/>
                <w:color w:val="000000"/>
                <w:kern w:val="0"/>
                <w14:ligatures w14:val="none"/>
              </w:rPr>
              <w:br/>
              <w:t>-------</w:t>
            </w:r>
          </w:p>
        </w:tc>
        <w:tc>
          <w:tcPr>
            <w:tcW w:w="3000" w:type="pct"/>
            <w:shd w:val="clear" w:color="auto" w:fill="FFFFFF"/>
            <w:tcMar>
              <w:top w:w="0" w:type="dxa"/>
              <w:left w:w="108" w:type="dxa"/>
              <w:bottom w:w="0" w:type="dxa"/>
              <w:right w:w="108" w:type="dxa"/>
            </w:tcMar>
            <w:hideMark/>
          </w:tcPr>
          <w:p w:rsidR="00DE5942" w:rsidRPr="00DE5942" w:rsidRDefault="00DE5942" w:rsidP="00DE5942">
            <w:pPr>
              <w:spacing w:before="120" w:after="120" w:line="234" w:lineRule="atLeast"/>
              <w:jc w:val="center"/>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b/>
                <w:bCs/>
                <w:color w:val="000000"/>
                <w:kern w:val="0"/>
                <w14:ligatures w14:val="none"/>
              </w:rPr>
              <w:t>CỘNG HÒA XÃ HỘI CHỦ NGHĨA VIỆT NAM</w:t>
            </w:r>
            <w:r w:rsidRPr="00DE5942">
              <w:rPr>
                <w:rFonts w:ascii="Times New Roman" w:eastAsia="Times New Roman" w:hAnsi="Times New Roman" w:cs="Times New Roman"/>
                <w:b/>
                <w:bCs/>
                <w:color w:val="000000"/>
                <w:kern w:val="0"/>
                <w14:ligatures w14:val="none"/>
              </w:rPr>
              <w:br/>
              <w:t>Độc lập - Tự do - Hạnh phúc</w:t>
            </w:r>
            <w:r w:rsidRPr="00DE5942">
              <w:rPr>
                <w:rFonts w:ascii="Times New Roman" w:eastAsia="Times New Roman" w:hAnsi="Times New Roman" w:cs="Times New Roman"/>
                <w:b/>
                <w:bCs/>
                <w:color w:val="000000"/>
                <w:kern w:val="0"/>
                <w14:ligatures w14:val="none"/>
              </w:rPr>
              <w:br/>
              <w:t>---------------</w:t>
            </w:r>
          </w:p>
        </w:tc>
      </w:tr>
      <w:tr w:rsidR="00DE5942" w:rsidRPr="00DE5942" w:rsidTr="00DE5942">
        <w:trPr>
          <w:tblCellSpacing w:w="0" w:type="dxa"/>
        </w:trPr>
        <w:tc>
          <w:tcPr>
            <w:tcW w:w="1950" w:type="pct"/>
            <w:shd w:val="clear" w:color="auto" w:fill="FFFFFF"/>
            <w:tcMar>
              <w:top w:w="0" w:type="dxa"/>
              <w:left w:w="108" w:type="dxa"/>
              <w:bottom w:w="0" w:type="dxa"/>
              <w:right w:w="108" w:type="dxa"/>
            </w:tcMar>
            <w:hideMark/>
          </w:tcPr>
          <w:p w:rsidR="00DE5942" w:rsidRPr="00DE5942" w:rsidRDefault="00DE5942" w:rsidP="00DE5942">
            <w:pPr>
              <w:spacing w:before="120" w:after="120" w:line="234" w:lineRule="atLeast"/>
              <w:jc w:val="center"/>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Số: …./……-ĐACN</w:t>
            </w:r>
          </w:p>
        </w:tc>
        <w:tc>
          <w:tcPr>
            <w:tcW w:w="3000" w:type="pct"/>
            <w:shd w:val="clear" w:color="auto" w:fill="FFFFFF"/>
            <w:tcMar>
              <w:top w:w="0" w:type="dxa"/>
              <w:left w:w="108" w:type="dxa"/>
              <w:bottom w:w="0" w:type="dxa"/>
              <w:right w:w="108" w:type="dxa"/>
            </w:tcMar>
            <w:hideMark/>
          </w:tcPr>
          <w:p w:rsidR="00DE5942" w:rsidRPr="00DE5942" w:rsidRDefault="00DE5942" w:rsidP="00DE5942">
            <w:pPr>
              <w:spacing w:before="120" w:after="120" w:line="234" w:lineRule="atLeast"/>
              <w:jc w:val="righ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i/>
                <w:iCs/>
                <w:color w:val="000000"/>
                <w:kern w:val="0"/>
                <w14:ligatures w14:val="none"/>
              </w:rPr>
              <w:t>……, ngày …. tháng …. năm …..</w:t>
            </w:r>
          </w:p>
        </w:tc>
      </w:tr>
    </w:tbl>
    <w:p w:rsidR="00DE5942" w:rsidRPr="00DE5942" w:rsidRDefault="00DE5942" w:rsidP="00DE5942">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b/>
          <w:bCs/>
          <w:color w:val="000000"/>
          <w:kern w:val="0"/>
          <w14:ligatures w14:val="none"/>
        </w:rPr>
        <w:t>ĐỀ ÁN KHAI THÁC TÀI SẢN KẾT CẤU HẠ TẦNG ĐƯỜNG SẮT</w:t>
      </w:r>
    </w:p>
    <w:p w:rsidR="00DE5942" w:rsidRPr="00DE5942" w:rsidRDefault="00DE5942" w:rsidP="00DE5942">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i/>
          <w:iCs/>
          <w:color w:val="000000"/>
          <w:kern w:val="0"/>
          <w14:ligatures w14:val="none"/>
        </w:rPr>
        <w:t>(Phương thức: Chuyển nhượng có thời hạn quyền khai thác tài sản kết cấu hạ tầng đường sắt quốc gia)</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b/>
          <w:bCs/>
          <w:color w:val="000000"/>
          <w:kern w:val="0"/>
          <w14:ligatures w14:val="none"/>
        </w:rPr>
        <w:t>I. SỰ CẦN THIẾT THỰC HIỆN ĐỀ ÁN</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1. Cơ sở pháp lý</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 Luật Quản lý, sử dụng tài sản công năm 2017;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 Luật Đường sắt năm 2017;</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 Nghị định số …../2025/NĐ-CP ngày .... tháng .... năm 2025 của Chính phủ quy định việc quản lý, sử dụng và khai thác tài sản kết cấu hạ tầng đường sắt.</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2. Cơ sở thực tiễn</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a) Thông tin về doanh nghiệp lập Đề án khai thác tài sản</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Chức năng, nhiệm vụ/ngành nghề đăng ký kinh doanh, cơ cấu tổ chức bộ máy của doanh nghiệp quản lý tài sản đường sắt quốc gia/ lập Đề án khai thác tài sản theo quy định của pháp luật.</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b) Đánh giá thực trạng về hiệu quả quản lý, khai thác tài sản đang thực hiện thuộc phạm vi quản lý.</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 Thông tin chủ yếu về tài sản kết cấu hạ tầng đường sắt quốc gia/đô thị đang thực hiện quản lý; trong đó chi tiết về tài sản kết cấu hạ tầng đường sắt quốc gia/đô thị dự kiến đề xuất chuyển nhượng có thời hạn quyền khai thác tài sản, gồm: Quyết định giao tài sản; tên tài sản, tên tuyến; địa chỉ; năm đưa vào sử dụng; thông số cơ bản (chiều dài, diện tích, khối lượng,...); nguyên giá, giá trị còn lại (nếu có); tình trạng sử dụng của tài sản; phương thức đang thực hiện khai thác.</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 Thông tin chủ yếu về tài sản kết cấu hạ tầng đường sắt quốc gia dự kiến đề xuất khai thác:</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 Kết quả thực hiện việc khai thác của 2 năm liền trước năm xây dựng Đề án (số tiền thu được, chi phí, nộp ngân sách nhà nước/việc quản lý, sử dụng số tiền thu được....) (nếu có).</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 Kế hoạch phát triển trong các năm tiếp theo.</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b/>
          <w:bCs/>
          <w:color w:val="000000"/>
          <w:kern w:val="0"/>
          <w14:ligatures w14:val="none"/>
        </w:rPr>
        <w:t>II. NỘI DUNG CHỦ YẾU CỦA ĐỀ ÁN </w:t>
      </w:r>
      <w:r w:rsidRPr="00DE5942">
        <w:rPr>
          <w:rFonts w:ascii="Times New Roman" w:eastAsia="Times New Roman" w:hAnsi="Times New Roman" w:cs="Times New Roman"/>
          <w:color w:val="000000"/>
          <w:kern w:val="0"/>
          <w14:ligatures w14:val="none"/>
        </w:rPr>
        <w:t>(đối với tài sản tài sản kết cấu hạ tầng đường sắt quốc gia dự kiến đề xuất khai thác)</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lastRenderedPageBreak/>
        <w:t>1. Thông tin chủ yếu về tài sản dự kiến đề xuất khai thác (toàn bộ tài sản/một phần tài sản), gồm: Quyết định giao tài sản; tên tài sản, tên tuyến; địa chỉ; năm đưa vào sử dụng; thông số cơ bản (chiều dài, diện tích, khối lượng,...); nguyên giá, giá trị còn lại (nếu có); tình trạng sử dụng của tài sản; Quyết định của cơ quan, người có thẩm quyền phê duyệt Dự án đầu tư nâng cấp, mở rộng tài sản...</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Trường hợp khai thác một phần của từng tài sản kết cấu hạ tầng đường sắt quốc gia phải đảm bảo nguyên tắc quy định tại khoản 2 Điều 4 Nghị định số…./2025/NĐ-CP ngày tháng 02 năm 2025.</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2. Lý do (sự cần thiết đề xuất phương thức chuyển nhượng có thời hạn quyền khai thác tài sản).</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3. Thời hạn chuyển nhượng có thời hạn quyền khai thác tài sản.</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4. Phương thức tổ chức thực hiện việc chuyển nhượng có thời hạn quyền khai thác tài sản.</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5. Căn cứ và phương pháp xác định giá khởi điểm để chuyển nhượng có thời hạn quyền khai thác tài sản.</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6. Điều kiện của doanh nghiệp tham gia đấu giá.</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7. Việc thanh toán tiền chuyển nhượng có thời hạn quyền khai thác tài sản/điều chỉnh giá trị thanh toán.</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8. Dự kiến nguồn thu từ khai thác tài sản: số tiền thu được, chi phí có liên quan đến chuyển nhượng có thời hạn quyền khai thác tài sản, số tiền nộp ngân sách nhà nước.</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9. Xử lý tài sản và quyền khai thác tài sản khi kết thúc thời hạn chuyển nhượng có thời hạn quyền khai thác tài sản.</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b/>
          <w:bCs/>
          <w:color w:val="000000"/>
          <w:kern w:val="0"/>
          <w14:ligatures w14:val="none"/>
        </w:rPr>
        <w:t>III. ĐỀ XUẤT, KIẾN NGHỊ ĐỂ THỰC HIỆN ĐỀ ÁN</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w:t>
      </w:r>
    </w:p>
    <w:p w:rsidR="00DE5942" w:rsidRPr="00DE5942" w:rsidRDefault="00DE5942" w:rsidP="00DE5942">
      <w:pPr>
        <w:shd w:val="clear" w:color="auto" w:fill="FFFFFF"/>
        <w:spacing w:before="120" w:after="120" w:line="234" w:lineRule="atLeast"/>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color w:val="000000"/>
          <w:kern w:val="0"/>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DE5942" w:rsidRPr="00DE5942" w:rsidTr="00DE5942">
        <w:trPr>
          <w:tblCellSpacing w:w="0" w:type="dxa"/>
        </w:trPr>
        <w:tc>
          <w:tcPr>
            <w:tcW w:w="1850" w:type="pct"/>
            <w:shd w:val="clear" w:color="auto" w:fill="FFFFFF"/>
            <w:tcMar>
              <w:top w:w="0" w:type="dxa"/>
              <w:left w:w="108" w:type="dxa"/>
              <w:bottom w:w="0" w:type="dxa"/>
              <w:right w:w="108" w:type="dxa"/>
            </w:tcMar>
            <w:hideMark/>
          </w:tcPr>
          <w:p w:rsidR="00DE5942" w:rsidRPr="00DE5942" w:rsidRDefault="00DE5942" w:rsidP="00DE5942">
            <w:pPr>
              <w:spacing w:after="0" w:line="240" w:lineRule="auto"/>
              <w:rPr>
                <w:rFonts w:ascii="Times New Roman" w:eastAsia="Times New Roman" w:hAnsi="Times New Roman" w:cs="Times New Roman"/>
                <w:color w:val="000000"/>
                <w:kern w:val="0"/>
                <w14:ligatures w14:val="none"/>
              </w:rPr>
            </w:pPr>
          </w:p>
        </w:tc>
        <w:tc>
          <w:tcPr>
            <w:tcW w:w="3100" w:type="pct"/>
            <w:shd w:val="clear" w:color="auto" w:fill="FFFFFF"/>
            <w:tcMar>
              <w:top w:w="0" w:type="dxa"/>
              <w:left w:w="108" w:type="dxa"/>
              <w:bottom w:w="0" w:type="dxa"/>
              <w:right w:w="108" w:type="dxa"/>
            </w:tcMar>
            <w:hideMark/>
          </w:tcPr>
          <w:p w:rsidR="00DE5942" w:rsidRPr="00DE5942" w:rsidRDefault="00DE5942" w:rsidP="00DE5942">
            <w:pPr>
              <w:spacing w:before="120" w:after="120" w:line="234" w:lineRule="atLeast"/>
              <w:jc w:val="center"/>
              <w:rPr>
                <w:rFonts w:ascii="Times New Roman" w:eastAsia="Times New Roman" w:hAnsi="Times New Roman" w:cs="Times New Roman"/>
                <w:color w:val="000000"/>
                <w:kern w:val="0"/>
                <w14:ligatures w14:val="none"/>
              </w:rPr>
            </w:pPr>
            <w:r w:rsidRPr="00DE5942">
              <w:rPr>
                <w:rFonts w:ascii="Times New Roman" w:eastAsia="Times New Roman" w:hAnsi="Times New Roman" w:cs="Times New Roman"/>
                <w:b/>
                <w:bCs/>
                <w:color w:val="000000"/>
                <w:kern w:val="0"/>
                <w14:ligatures w14:val="none"/>
              </w:rPr>
              <w:t>NGƯỜI ĐẠI DIỆN THEO PHÁP LUẬT CỦA</w:t>
            </w:r>
            <w:r w:rsidRPr="00DE5942">
              <w:rPr>
                <w:rFonts w:ascii="Times New Roman" w:eastAsia="Times New Roman" w:hAnsi="Times New Roman" w:cs="Times New Roman"/>
                <w:color w:val="222222"/>
                <w:kern w:val="0"/>
                <w14:ligatures w14:val="none"/>
              </w:rPr>
              <w:br/>
            </w:r>
            <w:r w:rsidRPr="00DE5942">
              <w:rPr>
                <w:rFonts w:ascii="Times New Roman" w:eastAsia="Times New Roman" w:hAnsi="Times New Roman" w:cs="Times New Roman"/>
                <w:b/>
                <w:bCs/>
                <w:color w:val="000000"/>
                <w:kern w:val="0"/>
                <w14:ligatures w14:val="none"/>
              </w:rPr>
              <w:t>DOANH NGHIỆP QUẢN LÝ TÀI SẢN ĐƯỜNG SẮT</w:t>
            </w:r>
            <w:r w:rsidRPr="00DE5942">
              <w:rPr>
                <w:rFonts w:ascii="Times New Roman" w:eastAsia="Times New Roman" w:hAnsi="Times New Roman" w:cs="Times New Roman"/>
                <w:color w:val="222222"/>
                <w:kern w:val="0"/>
                <w14:ligatures w14:val="none"/>
              </w:rPr>
              <w:br/>
            </w:r>
            <w:r w:rsidRPr="00DE5942">
              <w:rPr>
                <w:rFonts w:ascii="Times New Roman" w:eastAsia="Times New Roman" w:hAnsi="Times New Roman" w:cs="Times New Roman"/>
                <w:i/>
                <w:iCs/>
                <w:color w:val="000000"/>
                <w:kern w:val="0"/>
                <w14:ligatures w14:val="none"/>
              </w:rPr>
              <w:t>(Ký, ghi rõ họ tên, đóng dấu)</w:t>
            </w:r>
          </w:p>
        </w:tc>
      </w:tr>
    </w:tbl>
    <w:p w:rsidR="005B417D" w:rsidRPr="00DE5942" w:rsidRDefault="005B417D">
      <w:pPr>
        <w:rPr>
          <w:rFonts w:ascii="Times New Roman" w:hAnsi="Times New Roman" w:cs="Times New Roman"/>
        </w:rPr>
      </w:pPr>
    </w:p>
    <w:sectPr w:rsidR="005B417D" w:rsidRPr="00DE5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42"/>
    <w:rsid w:val="00353647"/>
    <w:rsid w:val="00514402"/>
    <w:rsid w:val="005B417D"/>
    <w:rsid w:val="0071134A"/>
    <w:rsid w:val="00A879F1"/>
    <w:rsid w:val="00D4021D"/>
    <w:rsid w:val="00D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47A07-2587-4419-8C74-A7B0A5C2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94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5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2025-02-10T02:16:00Z</dcterms:created>
  <dcterms:modified xsi:type="dcterms:W3CDTF">2025-02-10T02:16:00Z</dcterms:modified>
</cp:coreProperties>
</file>