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F3B2D" w:rsidRPr="006F3B2D" w:rsidRDefault="006F3B2D" w:rsidP="006F3B2D">
      <w:pPr>
        <w:shd w:val="clear" w:color="auto" w:fill="FFFFFF"/>
        <w:spacing w:after="0" w:line="234" w:lineRule="atLeast"/>
        <w:jc w:val="center"/>
        <w:rPr>
          <w:rFonts w:ascii="Times New Roman" w:eastAsia="Times New Roman" w:hAnsi="Times New Roman" w:cs="Times New Roman"/>
          <w:color w:val="000000"/>
          <w:kern w:val="0"/>
          <w:sz w:val="22"/>
          <w:szCs w:val="22"/>
          <w14:ligatures w14:val="none"/>
        </w:rPr>
      </w:pPr>
      <w:bookmarkStart w:id="0" w:name="chuong_pl_2"/>
      <w:r w:rsidRPr="006F3B2D">
        <w:rPr>
          <w:rFonts w:ascii="Times New Roman" w:eastAsia="Times New Roman" w:hAnsi="Times New Roman" w:cs="Times New Roman"/>
          <w:b/>
          <w:bCs/>
          <w:color w:val="000000"/>
          <w:kern w:val="0"/>
          <w:sz w:val="22"/>
          <w:szCs w:val="22"/>
          <w14:ligatures w14:val="none"/>
        </w:rPr>
        <w:t>PHỤ LỤC II</w:t>
      </w:r>
      <w:bookmarkEnd w:id="0"/>
    </w:p>
    <w:p w:rsidR="006F3B2D" w:rsidRPr="006F3B2D" w:rsidRDefault="006F3B2D" w:rsidP="006F3B2D">
      <w:pPr>
        <w:shd w:val="clear" w:color="auto" w:fill="FFFFFF"/>
        <w:spacing w:after="0" w:line="234" w:lineRule="atLeast"/>
        <w:jc w:val="center"/>
        <w:rPr>
          <w:rFonts w:ascii="Times New Roman" w:eastAsia="Times New Roman" w:hAnsi="Times New Roman" w:cs="Times New Roman"/>
          <w:color w:val="000000"/>
          <w:kern w:val="0"/>
          <w:sz w:val="22"/>
          <w:szCs w:val="22"/>
          <w14:ligatures w14:val="none"/>
        </w:rPr>
      </w:pPr>
      <w:bookmarkStart w:id="1" w:name="chuong_pl_2_name"/>
      <w:r w:rsidRPr="006F3B2D">
        <w:rPr>
          <w:rFonts w:ascii="Times New Roman" w:eastAsia="Times New Roman" w:hAnsi="Times New Roman" w:cs="Times New Roman"/>
          <w:color w:val="000000"/>
          <w:kern w:val="0"/>
          <w:sz w:val="22"/>
          <w:szCs w:val="22"/>
          <w14:ligatures w14:val="none"/>
        </w:rPr>
        <w:t>CÁCH XÁC ĐỊNH SỐ THUẾ ĐƯỢC HOÀN ĐỐI VỚI HÀNG HÓA, DỊCH VỤ XUẤT KHẨU</w:t>
      </w:r>
      <w:bookmarkEnd w:id="1"/>
      <w:r w:rsidRPr="006F3B2D">
        <w:rPr>
          <w:rFonts w:ascii="Times New Roman" w:eastAsia="Times New Roman" w:hAnsi="Times New Roman" w:cs="Times New Roman"/>
          <w:color w:val="000000"/>
          <w:kern w:val="0"/>
          <w:sz w:val="22"/>
          <w:szCs w:val="22"/>
          <w14:ligatures w14:val="none"/>
        </w:rPr>
        <w:br/>
      </w:r>
      <w:r w:rsidRPr="006F3B2D">
        <w:rPr>
          <w:rFonts w:ascii="Times New Roman" w:eastAsia="Times New Roman" w:hAnsi="Times New Roman" w:cs="Times New Roman"/>
          <w:i/>
          <w:iCs/>
          <w:color w:val="000000"/>
          <w:kern w:val="0"/>
          <w:sz w:val="22"/>
          <w:szCs w:val="22"/>
          <w14:ligatures w14:val="none"/>
        </w:rPr>
        <w:t>(Kèm theo Thông tư số 69/2025/TT-BTC ngày 01 tháng 7 năm 2025 của Bộ trưởng Bộ Tài chính)</w:t>
      </w:r>
    </w:p>
    <w:p w:rsidR="006F3B2D" w:rsidRPr="006F3B2D" w:rsidRDefault="006F3B2D" w:rsidP="006F3B2D">
      <w:pPr>
        <w:shd w:val="clear" w:color="auto" w:fill="FFFFFF"/>
        <w:spacing w:before="120" w:after="120" w:line="234" w:lineRule="atLeast"/>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Cách xác định số thuế giá trị gia tăng được hoàn đối với hàng hóa, dịch vụ xuất khẩu đối với trường hợp cơ sở kinh doanh trong tháng, quý vừa có hàng hóa, dịch vụ xuất khẩu, vừa có hàng hóa, dịch vụ tiêu thụ nội địa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46"/>
        <w:gridCol w:w="282"/>
        <w:gridCol w:w="1942"/>
        <w:gridCol w:w="380"/>
        <w:gridCol w:w="186"/>
        <w:gridCol w:w="2428"/>
        <w:gridCol w:w="186"/>
        <w:gridCol w:w="2136"/>
        <w:gridCol w:w="74"/>
      </w:tblGrid>
      <w:tr w:rsidR="006F3B2D" w:rsidRPr="006F3B2D" w:rsidTr="006F3B2D">
        <w:trPr>
          <w:tblCellSpacing w:w="0" w:type="dxa"/>
        </w:trPr>
        <w:tc>
          <w:tcPr>
            <w:tcW w:w="900" w:type="pct"/>
            <w:vMerge w:val="restar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Số thuế giá trị gia tăng đầu vào được khấu trừ sử dụng cho sản xuất, kinh doanh hàng hóa, dịch vụ xuất khẩu của kỳ hoàn thuế (1)</w:t>
            </w:r>
          </w:p>
        </w:tc>
        <w:tc>
          <w:tcPr>
            <w:tcW w:w="150" w:type="pct"/>
            <w:vMerge w:val="restar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w:t>
            </w:r>
          </w:p>
        </w:tc>
        <w:tc>
          <w:tcPr>
            <w:tcW w:w="1000" w:type="pct"/>
            <w:vMerge w:val="restar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Số thuế giá trị gia tăng đầu vào được khấu trừ sử dụng cho sản xuất, kinh doanh hàng hóa, dịch vụ xuất khẩu hạch toán riêng được của kỳ hoàn thuế (2)</w:t>
            </w:r>
          </w:p>
        </w:tc>
        <w:tc>
          <w:tcPr>
            <w:tcW w:w="200" w:type="pct"/>
            <w:vMerge w:val="restar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w:t>
            </w:r>
          </w:p>
        </w:tc>
        <w:tc>
          <w:tcPr>
            <w:tcW w:w="100" w:type="pct"/>
            <w:vMerge w:val="restar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w:t>
            </w:r>
          </w:p>
        </w:tc>
        <w:tc>
          <w:tcPr>
            <w:tcW w:w="1250" w:type="pct"/>
            <w:vMerge w:val="restar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Số thuế giá trị gia tăng đầu vào được khấu trừ sử dụng đồng thời cho hoạt động sản xuất, kinh doanh hàng hóa, dịch vụ xuất khẩu và tiêu thụ nội địa không hạch toán riêng được của kỳ hoàn thuế (3)</w:t>
            </w:r>
          </w:p>
        </w:tc>
        <w:tc>
          <w:tcPr>
            <w:tcW w:w="100" w:type="pct"/>
            <w:vMerge w:val="restar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x</w:t>
            </w:r>
          </w:p>
        </w:tc>
        <w:tc>
          <w:tcPr>
            <w:tcW w:w="1100" w:type="pct"/>
            <w:tcBorders>
              <w:top w:val="nil"/>
              <w:left w:val="nil"/>
              <w:bottom w:val="single" w:sz="8" w:space="0" w:color="auto"/>
              <w:right w:val="nil"/>
            </w:tcBorders>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Doanh thu của hàng hóa, dịch vụ xuất khẩu (trừ doanh thu của hàng hóa nhập khẩu sau đó xuất khẩu sang nước khác) của kỳ hoàn thuế</w:t>
            </w:r>
          </w:p>
        </w:tc>
        <w:tc>
          <w:tcPr>
            <w:tcW w:w="0" w:type="pct"/>
            <w:vMerge w:val="restar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w:t>
            </w:r>
          </w:p>
        </w:tc>
      </w:tr>
      <w:tr w:rsidR="006F3B2D" w:rsidRPr="006F3B2D" w:rsidTr="006F3B2D">
        <w:trPr>
          <w:tblCellSpacing w:w="0" w:type="dxa"/>
        </w:trPr>
        <w:tc>
          <w:tcPr>
            <w:tcW w:w="0" w:type="auto"/>
            <w:vMerge/>
            <w:shd w:val="clear" w:color="auto" w:fill="FFFFFF"/>
            <w:vAlign w:val="center"/>
            <w:hideMark/>
          </w:tcPr>
          <w:p w:rsidR="006F3B2D" w:rsidRPr="006F3B2D" w:rsidRDefault="006F3B2D" w:rsidP="006F3B2D">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shd w:val="clear" w:color="auto" w:fill="FFFFFF"/>
            <w:vAlign w:val="center"/>
            <w:hideMark/>
          </w:tcPr>
          <w:p w:rsidR="006F3B2D" w:rsidRPr="006F3B2D" w:rsidRDefault="006F3B2D" w:rsidP="006F3B2D">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shd w:val="clear" w:color="auto" w:fill="FFFFFF"/>
            <w:vAlign w:val="center"/>
            <w:hideMark/>
          </w:tcPr>
          <w:p w:rsidR="006F3B2D" w:rsidRPr="006F3B2D" w:rsidRDefault="006F3B2D" w:rsidP="006F3B2D">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shd w:val="clear" w:color="auto" w:fill="FFFFFF"/>
            <w:vAlign w:val="center"/>
            <w:hideMark/>
          </w:tcPr>
          <w:p w:rsidR="006F3B2D" w:rsidRPr="006F3B2D" w:rsidRDefault="006F3B2D" w:rsidP="006F3B2D">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shd w:val="clear" w:color="auto" w:fill="FFFFFF"/>
            <w:vAlign w:val="center"/>
            <w:hideMark/>
          </w:tcPr>
          <w:p w:rsidR="006F3B2D" w:rsidRPr="006F3B2D" w:rsidRDefault="006F3B2D" w:rsidP="006F3B2D">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shd w:val="clear" w:color="auto" w:fill="FFFFFF"/>
            <w:vAlign w:val="center"/>
            <w:hideMark/>
          </w:tcPr>
          <w:p w:rsidR="006F3B2D" w:rsidRPr="006F3B2D" w:rsidRDefault="006F3B2D" w:rsidP="006F3B2D">
            <w:pPr>
              <w:spacing w:after="0" w:line="240" w:lineRule="auto"/>
              <w:rPr>
                <w:rFonts w:ascii="Times New Roman" w:eastAsia="Times New Roman" w:hAnsi="Times New Roman" w:cs="Times New Roman"/>
                <w:color w:val="000000"/>
                <w:kern w:val="0"/>
                <w:sz w:val="22"/>
                <w:szCs w:val="22"/>
                <w14:ligatures w14:val="none"/>
              </w:rPr>
            </w:pPr>
          </w:p>
        </w:tc>
        <w:tc>
          <w:tcPr>
            <w:tcW w:w="0" w:type="auto"/>
            <w:vMerge/>
            <w:shd w:val="clear" w:color="auto" w:fill="FFFFFF"/>
            <w:vAlign w:val="center"/>
            <w:hideMark/>
          </w:tcPr>
          <w:p w:rsidR="006F3B2D" w:rsidRPr="006F3B2D" w:rsidRDefault="006F3B2D" w:rsidP="006F3B2D">
            <w:pPr>
              <w:spacing w:after="0" w:line="240" w:lineRule="auto"/>
              <w:rPr>
                <w:rFonts w:ascii="Times New Roman" w:eastAsia="Times New Roman" w:hAnsi="Times New Roman" w:cs="Times New Roman"/>
                <w:color w:val="000000"/>
                <w:kern w:val="0"/>
                <w:sz w:val="22"/>
                <w:szCs w:val="22"/>
                <w14:ligatures w14:val="none"/>
              </w:rPr>
            </w:pPr>
          </w:p>
        </w:tc>
        <w:tc>
          <w:tcPr>
            <w:tcW w:w="1100" w:type="pc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Tổng doanh thu hàng hóa, dịch vụ chịu thuế của kỳ hoàn thuế</w:t>
            </w:r>
          </w:p>
        </w:tc>
        <w:tc>
          <w:tcPr>
            <w:tcW w:w="0" w:type="auto"/>
            <w:vMerge/>
            <w:shd w:val="clear" w:color="auto" w:fill="FFFFFF"/>
            <w:vAlign w:val="center"/>
            <w:hideMark/>
          </w:tcPr>
          <w:p w:rsidR="006F3B2D" w:rsidRPr="006F3B2D" w:rsidRDefault="006F3B2D" w:rsidP="006F3B2D">
            <w:pPr>
              <w:spacing w:after="0" w:line="240" w:lineRule="auto"/>
              <w:rPr>
                <w:rFonts w:ascii="Times New Roman" w:eastAsia="Times New Roman" w:hAnsi="Times New Roman" w:cs="Times New Roman"/>
                <w:color w:val="000000"/>
                <w:kern w:val="0"/>
                <w:sz w:val="22"/>
                <w:szCs w:val="22"/>
                <w14:ligatures w14:val="none"/>
              </w:rPr>
            </w:pPr>
          </w:p>
        </w:tc>
      </w:tr>
    </w:tbl>
    <w:p w:rsidR="006F3B2D" w:rsidRPr="006F3B2D" w:rsidRDefault="006F3B2D" w:rsidP="006F3B2D">
      <w:pPr>
        <w:shd w:val="clear" w:color="auto" w:fill="FFFFFF"/>
        <w:spacing w:before="120" w:after="120" w:line="234" w:lineRule="atLeast"/>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86"/>
        <w:gridCol w:w="155"/>
        <w:gridCol w:w="2414"/>
        <w:gridCol w:w="155"/>
        <w:gridCol w:w="2165"/>
        <w:gridCol w:w="155"/>
        <w:gridCol w:w="2430"/>
      </w:tblGrid>
      <w:tr w:rsidR="006F3B2D" w:rsidRPr="006F3B2D" w:rsidTr="006F3B2D">
        <w:trPr>
          <w:tblCellSpacing w:w="0" w:type="dxa"/>
        </w:trPr>
        <w:tc>
          <w:tcPr>
            <w:tcW w:w="0" w:type="auto"/>
            <w:shd w:val="clear" w:color="auto" w:fill="auto"/>
            <w:tcMar>
              <w:top w:w="15" w:type="dxa"/>
              <w:left w:w="15" w:type="dxa"/>
              <w:bottom w:w="15" w:type="dxa"/>
              <w:right w:w="15" w:type="dxa"/>
            </w:tcMar>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Số thuế giá trị gia tăng đầu vào được khấu trừ sử dụng cho sản xuất, kinh doanh hàng hóa, dịch vụ xuất khẩu hạch toán riêng được của kỳ hoàn thuế (2)</w:t>
            </w:r>
          </w:p>
        </w:tc>
        <w:tc>
          <w:tcPr>
            <w:tcW w:w="0" w:type="auto"/>
            <w:shd w:val="clear" w:color="auto" w:fill="auto"/>
            <w:tcMar>
              <w:top w:w="15" w:type="dxa"/>
              <w:left w:w="15" w:type="dxa"/>
              <w:bottom w:w="15" w:type="dxa"/>
              <w:right w:w="15" w:type="dxa"/>
            </w:tcMar>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w:t>
            </w:r>
          </w:p>
        </w:tc>
        <w:tc>
          <w:tcPr>
            <w:tcW w:w="0" w:type="auto"/>
            <w:shd w:val="clear" w:color="auto" w:fill="auto"/>
            <w:tcMar>
              <w:top w:w="15" w:type="dxa"/>
              <w:left w:w="15" w:type="dxa"/>
              <w:bottom w:w="15" w:type="dxa"/>
              <w:right w:w="15" w:type="dxa"/>
            </w:tcMar>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Số thuế giá trị gia tăng đầu vào chưa khấu trừ hết sử dụng cho sản xuất, kinh doanh hàng hóa, dịch vụ xuất khẩu hạch toán riêng được kỳ trước chuyển sang tại kỳ tính thuế đầu tiên thuộc kỳ hoàn thuế</w:t>
            </w:r>
          </w:p>
        </w:tc>
        <w:tc>
          <w:tcPr>
            <w:tcW w:w="0" w:type="auto"/>
            <w:shd w:val="clear" w:color="auto" w:fill="auto"/>
            <w:tcMar>
              <w:top w:w="15" w:type="dxa"/>
              <w:left w:w="15" w:type="dxa"/>
              <w:bottom w:w="15" w:type="dxa"/>
              <w:right w:w="15" w:type="dxa"/>
            </w:tcMar>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w:t>
            </w:r>
          </w:p>
        </w:tc>
        <w:tc>
          <w:tcPr>
            <w:tcW w:w="0" w:type="auto"/>
            <w:shd w:val="clear" w:color="auto" w:fill="auto"/>
            <w:tcMar>
              <w:top w:w="15" w:type="dxa"/>
              <w:left w:w="15" w:type="dxa"/>
              <w:bottom w:w="15" w:type="dxa"/>
              <w:right w:w="15" w:type="dxa"/>
            </w:tcMar>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Số thuế giá trị gia tăng đầu vào được khấu trừ sử dụng cho sản xuất, kinh doanh hàng hóa, dịch vụ xuất khẩu hạch toán riêng được phát sinh trong các kỳ tính thuế thuộc kỳ hoàn thuế</w:t>
            </w:r>
          </w:p>
        </w:tc>
        <w:tc>
          <w:tcPr>
            <w:tcW w:w="0" w:type="auto"/>
            <w:shd w:val="clear" w:color="auto" w:fill="auto"/>
            <w:tcMar>
              <w:top w:w="15" w:type="dxa"/>
              <w:left w:w="15" w:type="dxa"/>
              <w:bottom w:w="15" w:type="dxa"/>
              <w:right w:w="15" w:type="dxa"/>
            </w:tcMar>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w:t>
            </w:r>
          </w:p>
        </w:tc>
        <w:tc>
          <w:tcPr>
            <w:tcW w:w="0" w:type="auto"/>
            <w:shd w:val="clear" w:color="auto" w:fill="auto"/>
            <w:tcMar>
              <w:top w:w="15" w:type="dxa"/>
              <w:left w:w="15" w:type="dxa"/>
              <w:bottom w:w="15" w:type="dxa"/>
              <w:right w:w="15" w:type="dxa"/>
            </w:tcMar>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Chênh lệch điều chỉnh tăng, giảm số thuế giá trị gia tăng đầu vào được khấu trừ sử dụng cho sản xuất, kinh doanh hàng hóa, dịch vụ xuất khẩu hạch toán riêng được của các kỳ tính thuế trước kỳ hoàn thuế (4)</w:t>
            </w:r>
          </w:p>
        </w:tc>
      </w:tr>
    </w:tbl>
    <w:p w:rsidR="006F3B2D" w:rsidRPr="006F3B2D" w:rsidRDefault="006F3B2D" w:rsidP="006F3B2D">
      <w:pPr>
        <w:shd w:val="clear" w:color="auto" w:fill="FFFFFF"/>
        <w:spacing w:before="120" w:after="120" w:line="234" w:lineRule="atLeast"/>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004"/>
        <w:gridCol w:w="125"/>
        <w:gridCol w:w="2391"/>
        <w:gridCol w:w="125"/>
        <w:gridCol w:w="2198"/>
        <w:gridCol w:w="125"/>
        <w:gridCol w:w="2392"/>
      </w:tblGrid>
      <w:tr w:rsidR="006F3B2D" w:rsidRPr="006F3B2D" w:rsidTr="006F3B2D">
        <w:trPr>
          <w:tblCellSpacing w:w="0" w:type="dxa"/>
        </w:trPr>
        <w:tc>
          <w:tcPr>
            <w:tcW w:w="1050" w:type="pc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Số thuế giá trị gia tăng đầu vào được khấu trừ sử dụng đồng thời cho hoạt động sản xuất, kinh doanh hàng hóa, dịch vụ xuất khẩu và tiêu thụ nội địa không hạch toán riêng được của kỳ hoàn thuế (3)</w:t>
            </w:r>
          </w:p>
        </w:tc>
        <w:tc>
          <w:tcPr>
            <w:tcW w:w="50" w:type="pc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w:t>
            </w:r>
          </w:p>
        </w:tc>
        <w:tc>
          <w:tcPr>
            <w:tcW w:w="1250" w:type="pc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Số thuế giá trị gia tăng đầu vào chưa khấu trừ hết sử dụng đồng thời cho hoạt động sản xuất, kinh doanh hàng hóa, dịch vụ xuất khẩu và tiêu thụ nội địa không hạch toán riêng được kỳ trước chuyển sang tại kỳ tính thuế đầu tiên thuộc kỳ hoàn thuế</w:t>
            </w:r>
          </w:p>
        </w:tc>
        <w:tc>
          <w:tcPr>
            <w:tcW w:w="50" w:type="pc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w:t>
            </w:r>
          </w:p>
        </w:tc>
        <w:tc>
          <w:tcPr>
            <w:tcW w:w="1150" w:type="pc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Số thuế giá trị gia tăng đầu vào được khấu trừ sử dụng đồng thời cho hoạt động sản xuất, kinh doanh hàng hóa, dịch vụ xuất khẩu và tiêu thụ nội địa không hạch toán riêng được phát sinh trong các kỳ tính thuế thuộc kỳ hoàn thuế</w:t>
            </w:r>
          </w:p>
        </w:tc>
        <w:tc>
          <w:tcPr>
            <w:tcW w:w="50" w:type="pc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w:t>
            </w:r>
          </w:p>
        </w:tc>
        <w:tc>
          <w:tcPr>
            <w:tcW w:w="1250" w:type="pct"/>
            <w:shd w:val="clear" w:color="auto" w:fill="auto"/>
            <w:vAlign w:val="center"/>
            <w:hideMark/>
          </w:tcPr>
          <w:p w:rsidR="006F3B2D" w:rsidRPr="006F3B2D" w:rsidRDefault="006F3B2D" w:rsidP="006F3B2D">
            <w:pPr>
              <w:spacing w:before="120" w:after="120" w:line="234" w:lineRule="atLeast"/>
              <w:jc w:val="center"/>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Chênh lệch điều chỉnh tăng, giảm số thuế giá trị gia tăng đầu vào được khấu trừ sử dụng đồng thời cho hoạt động sản xuất, kinh doanh hàng hóa, dịch vụ xuất khẩu và tiêu thụ nội địa không hạch toán riêng được của các kỳ tính thuế trước kỳ hoàn thuế (5)</w:t>
            </w:r>
          </w:p>
        </w:tc>
      </w:tr>
    </w:tbl>
    <w:p w:rsidR="006F3B2D" w:rsidRPr="006F3B2D" w:rsidRDefault="006F3B2D" w:rsidP="006F3B2D">
      <w:pPr>
        <w:shd w:val="clear" w:color="auto" w:fill="FFFFFF"/>
        <w:spacing w:before="120" w:after="120" w:line="234" w:lineRule="atLeast"/>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Trong đó:</w:t>
      </w:r>
    </w:p>
    <w:p w:rsidR="006F3B2D" w:rsidRPr="006F3B2D" w:rsidRDefault="006F3B2D" w:rsidP="006F3B2D">
      <w:pPr>
        <w:shd w:val="clear" w:color="auto" w:fill="FFFFFF"/>
        <w:spacing w:before="120" w:after="120" w:line="234" w:lineRule="atLeast"/>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 xml:space="preserve">Chênh lệch điều chỉnh tăng, giảm số thuế giá trị gia tăng đầu vào được khấu trừ sử dụng cho sản xuất, kinh doanh hàng hóa, dịch vụ xuất khẩu hạch toán riêng được của các kỳ tính thuế trước kỳ hoàn thuế (4) = Điều chỉnh tăng số thuế giá trị gia tăng đầu vào được khấu trừ sử dụng cho sản xuất, kinh doanh hàng hóa, dịch vụ xuất khẩu hạch toán riêng được của các kỳ tính thuế trước kỳ hoàn thuế trừ (-) Điều chỉnh </w:t>
      </w:r>
      <w:r w:rsidRPr="006F3B2D">
        <w:rPr>
          <w:rFonts w:ascii="Times New Roman" w:eastAsia="Times New Roman" w:hAnsi="Times New Roman" w:cs="Times New Roman"/>
          <w:color w:val="000000"/>
          <w:kern w:val="0"/>
          <w:sz w:val="22"/>
          <w:szCs w:val="22"/>
          <w14:ligatures w14:val="none"/>
        </w:rPr>
        <w:lastRenderedPageBreak/>
        <w:t>giảm số thuế giá trị gia tăng đầu vào được khấu trừ sử dụng cho sản xuất, kinh doanh hàng hóa, dịch vụ xuất khẩu hạch toán riêng được của các kỳ tính thuế trước kỳ hoàn thuế.</w:t>
      </w:r>
    </w:p>
    <w:p w:rsidR="006F3B2D" w:rsidRPr="006F3B2D" w:rsidRDefault="006F3B2D" w:rsidP="006F3B2D">
      <w:pPr>
        <w:shd w:val="clear" w:color="auto" w:fill="FFFFFF"/>
        <w:spacing w:before="120" w:after="120" w:line="234" w:lineRule="atLeast"/>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Chênh lệch điều chỉnh tăng, giảm số thuế giá trị gia tăng đầu vào được khấu trừ sử dụng đồng thời cho hoạt động sản xuất, kinh doanh hàng hóa, dịch vụ xuất khẩu và tiêu thụ nội địa không hạch toán riêng được của các kỳ tính thuế trước kỳ hoàn thuế (5) = Điều chỉnh tăng số thuế giá trị gia tăng đầu vào được khấu trừ sử dụng đồng thời cho hoạt động sản xuất, kinh doanh hàng hóa, dịch vụ xuất khẩu và tiêu thụ nội địa không hạch toán riêng được của các kỳ tính thuế trước kỳ hoàn thuế trừ (-) Điều chỉnh giảm số thuế giá trị gia tăng đầu vào được khấu trừ sử dụng đồng thời cho hoạt động sản xuất, kinh doanh hàng hóa, dịch vụ xuất khẩu và tiêu thụ nội địa không hạch toán riêng được của các kỳ tính thuế trước kỳ hoàn thuế.</w:t>
      </w:r>
    </w:p>
    <w:p w:rsidR="006F3B2D" w:rsidRPr="006F3B2D" w:rsidRDefault="006F3B2D" w:rsidP="006F3B2D">
      <w:pPr>
        <w:shd w:val="clear" w:color="auto" w:fill="FFFFFF"/>
        <w:spacing w:before="120" w:after="120" w:line="234" w:lineRule="atLeast"/>
        <w:rPr>
          <w:rFonts w:ascii="Times New Roman" w:eastAsia="Times New Roman" w:hAnsi="Times New Roman" w:cs="Times New Roman"/>
          <w:color w:val="000000"/>
          <w:kern w:val="0"/>
          <w:sz w:val="22"/>
          <w:szCs w:val="22"/>
          <w14:ligatures w14:val="none"/>
        </w:rPr>
      </w:pPr>
      <w:r w:rsidRPr="006F3B2D">
        <w:rPr>
          <w:rFonts w:ascii="Times New Roman" w:eastAsia="Times New Roman" w:hAnsi="Times New Roman" w:cs="Times New Roman"/>
          <w:color w:val="000000"/>
          <w:kern w:val="0"/>
          <w:sz w:val="22"/>
          <w:szCs w:val="22"/>
          <w14:ligatures w14:val="none"/>
        </w:rPr>
        <w:t>Nếu số thuế giá trị gia tăng đầu vào được khấu trừ sử dụng cho sản xuất, kinh doanh hàng hóa, dịch vụ xuất khẩu của kỳ hoàn thuế (1) nêu trên sau khi bù trừ với số thuế giá trị gia tăng phải nộp của hàng hóa, dịch vụ tiêu thụ nội địa còn lại từ 300 triệu đồng trở lên thì cơ sở kinh doanh được hoàn thuế cho hàng hóa, dịch vụ xuất khẩu. Số thuế giá trị gia tăng được hoàn của hàng hóa, dịch vụ xuất khẩu không vượt quá 10% doanh thu của hàng hóa, dịch vụ xuất khẩu (trừ doanh thu của hàng hóa nhập khẩu sau đó xuất khẩu sang nước khác) của kỳ hoàn thuế.</w:t>
      </w:r>
    </w:p>
    <w:p w:rsidR="005B7590" w:rsidRPr="006F3B2D" w:rsidRDefault="005B7590">
      <w:pPr>
        <w:rPr>
          <w:rFonts w:ascii="Times New Roman" w:hAnsi="Times New Roman" w:cs="Times New Roman"/>
          <w:sz w:val="22"/>
          <w:szCs w:val="22"/>
        </w:rPr>
      </w:pPr>
    </w:p>
    <w:sectPr w:rsidR="005B7590" w:rsidRPr="006F3B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A3"/>
    <w:family w:val="roman"/>
    <w:pitch w:val="variable"/>
    <w:sig w:usb0="E0002EFF" w:usb1="C000785B" w:usb2="00000009" w:usb3="00000000" w:csb0="000001FF" w:csb1="00000000"/>
  </w:font>
  <w:font w:name="Aptos Display">
    <w:altName w:val="Calibri"/>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B2D"/>
    <w:rsid w:val="001650E8"/>
    <w:rsid w:val="005B7590"/>
    <w:rsid w:val="006F3B2D"/>
    <w:rsid w:val="00F04438"/>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269EA0A-BB01-1542-9D24-2182FD0E5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3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3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3B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3B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3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3B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3B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3B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3B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B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3B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3B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3B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3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3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3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3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3B2D"/>
    <w:rPr>
      <w:rFonts w:eastAsiaTheme="majorEastAsia" w:cstheme="majorBidi"/>
      <w:color w:val="272727" w:themeColor="text1" w:themeTint="D8"/>
    </w:rPr>
  </w:style>
  <w:style w:type="paragraph" w:styleId="Title">
    <w:name w:val="Title"/>
    <w:basedOn w:val="Normal"/>
    <w:next w:val="Normal"/>
    <w:link w:val="TitleChar"/>
    <w:uiPriority w:val="10"/>
    <w:qFormat/>
    <w:rsid w:val="006F3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3B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3B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3B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3B2D"/>
    <w:pPr>
      <w:spacing w:before="160"/>
      <w:jc w:val="center"/>
    </w:pPr>
    <w:rPr>
      <w:i/>
      <w:iCs/>
      <w:color w:val="404040" w:themeColor="text1" w:themeTint="BF"/>
    </w:rPr>
  </w:style>
  <w:style w:type="character" w:customStyle="1" w:styleId="QuoteChar">
    <w:name w:val="Quote Char"/>
    <w:basedOn w:val="DefaultParagraphFont"/>
    <w:link w:val="Quote"/>
    <w:uiPriority w:val="29"/>
    <w:rsid w:val="006F3B2D"/>
    <w:rPr>
      <w:i/>
      <w:iCs/>
      <w:color w:val="404040" w:themeColor="text1" w:themeTint="BF"/>
    </w:rPr>
  </w:style>
  <w:style w:type="paragraph" w:styleId="ListParagraph">
    <w:name w:val="List Paragraph"/>
    <w:basedOn w:val="Normal"/>
    <w:uiPriority w:val="34"/>
    <w:qFormat/>
    <w:rsid w:val="006F3B2D"/>
    <w:pPr>
      <w:ind w:left="720"/>
      <w:contextualSpacing/>
    </w:pPr>
  </w:style>
  <w:style w:type="character" w:styleId="IntenseEmphasis">
    <w:name w:val="Intense Emphasis"/>
    <w:basedOn w:val="DefaultParagraphFont"/>
    <w:uiPriority w:val="21"/>
    <w:qFormat/>
    <w:rsid w:val="006F3B2D"/>
    <w:rPr>
      <w:i/>
      <w:iCs/>
      <w:color w:val="0F4761" w:themeColor="accent1" w:themeShade="BF"/>
    </w:rPr>
  </w:style>
  <w:style w:type="paragraph" w:styleId="IntenseQuote">
    <w:name w:val="Intense Quote"/>
    <w:basedOn w:val="Normal"/>
    <w:next w:val="Normal"/>
    <w:link w:val="IntenseQuoteChar"/>
    <w:uiPriority w:val="30"/>
    <w:qFormat/>
    <w:rsid w:val="006F3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3B2D"/>
    <w:rPr>
      <w:i/>
      <w:iCs/>
      <w:color w:val="0F4761" w:themeColor="accent1" w:themeShade="BF"/>
    </w:rPr>
  </w:style>
  <w:style w:type="character" w:styleId="IntenseReference">
    <w:name w:val="Intense Reference"/>
    <w:basedOn w:val="DefaultParagraphFont"/>
    <w:uiPriority w:val="32"/>
    <w:qFormat/>
    <w:rsid w:val="006F3B2D"/>
    <w:rPr>
      <w:b/>
      <w:bCs/>
      <w:smallCaps/>
      <w:color w:val="0F4761" w:themeColor="accent1" w:themeShade="BF"/>
      <w:spacing w:val="5"/>
    </w:rPr>
  </w:style>
  <w:style w:type="paragraph" w:styleId="NormalWeb">
    <w:name w:val="Normal (Web)"/>
    <w:basedOn w:val="Normal"/>
    <w:uiPriority w:val="99"/>
    <w:semiHidden/>
    <w:unhideWhenUsed/>
    <w:rsid w:val="006F3B2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19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691</Words>
  <Characters>3939</Characters>
  <Application>Microsoft Office Word</Application>
  <DocSecurity>0</DocSecurity>
  <Lines>32</Lines>
  <Paragraphs>9</Paragraphs>
  <ScaleCrop>false</ScaleCrop>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Anh</dc:creator>
  <cp:keywords/>
  <dc:description/>
  <cp:lastModifiedBy>Hong Anh</cp:lastModifiedBy>
  <cp:revision>1</cp:revision>
  <dcterms:created xsi:type="dcterms:W3CDTF">2025-07-13T12:59:00Z</dcterms:created>
  <dcterms:modified xsi:type="dcterms:W3CDTF">2025-07-13T12:59:00Z</dcterms:modified>
</cp:coreProperties>
</file>