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1388" w:rsidRPr="00221388" w:rsidRDefault="00221388" w:rsidP="00221388">
      <w:pPr>
        <w:widowControl w:val="0"/>
        <w:autoSpaceDE w:val="0"/>
        <w:autoSpaceDN w:val="0"/>
        <w:adjustRightInd w:val="0"/>
        <w:spacing w:before="120"/>
      </w:pPr>
      <w:r w:rsidRPr="00221388">
        <w:rPr>
          <w:b/>
          <w:bCs/>
        </w:rPr>
        <w:t>Biểu số 14/CH</w:t>
      </w:r>
    </w:p>
    <w:p w:rsidR="00221388" w:rsidRPr="00221388" w:rsidRDefault="00221388" w:rsidP="00221388">
      <w:pPr>
        <w:widowControl w:val="0"/>
        <w:autoSpaceDE w:val="0"/>
        <w:autoSpaceDN w:val="0"/>
        <w:adjustRightInd w:val="0"/>
        <w:spacing w:before="120"/>
        <w:jc w:val="center"/>
      </w:pPr>
      <w:r w:rsidRPr="00221388">
        <w:rPr>
          <w:b/>
          <w:bCs/>
        </w:rPr>
        <w:t>Phân kỳ diện tích cần chuyển mục đích sử dụng đất trong quy hoạch sử dụng đất cho từng kỳ kế hoạch 05 năm của huyện…</w:t>
      </w:r>
    </w:p>
    <w:p w:rsidR="00221388" w:rsidRPr="00221388" w:rsidRDefault="00221388" w:rsidP="00221388">
      <w:pPr>
        <w:widowControl w:val="0"/>
        <w:autoSpaceDE w:val="0"/>
        <w:autoSpaceDN w:val="0"/>
        <w:adjustRightInd w:val="0"/>
        <w:spacing w:before="120"/>
        <w:jc w:val="right"/>
      </w:pPr>
      <w:r w:rsidRPr="00221388">
        <w:rPr>
          <w:i/>
          <w:iCs/>
        </w:rPr>
        <w:t>Đơn vị tính: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10"/>
        <w:gridCol w:w="4256"/>
        <w:gridCol w:w="1235"/>
        <w:gridCol w:w="1116"/>
        <w:gridCol w:w="1004"/>
        <w:gridCol w:w="933"/>
      </w:tblGrid>
      <w:tr w:rsidR="00221388" w:rsidRPr="00221388" w:rsidTr="007A04A5">
        <w:tblPrEx>
          <w:tblCellMar>
            <w:top w:w="0" w:type="dxa"/>
            <w:left w:w="0" w:type="dxa"/>
            <w:bottom w:w="0" w:type="dxa"/>
            <w:right w:w="0" w:type="dxa"/>
          </w:tblCellMar>
        </w:tblPrEx>
        <w:tc>
          <w:tcPr>
            <w:tcW w:w="441" w:type="pct"/>
            <w:vMerge w:val="restar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b/>
                <w:bCs/>
              </w:rPr>
              <w:t>STT</w:t>
            </w:r>
          </w:p>
        </w:tc>
        <w:tc>
          <w:tcPr>
            <w:tcW w:w="2283" w:type="pct"/>
            <w:vMerge w:val="restar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b/>
                <w:bCs/>
              </w:rPr>
              <w:t>Chỉ tiêu sử dụng đất</w:t>
            </w:r>
          </w:p>
        </w:tc>
        <w:tc>
          <w:tcPr>
            <w:tcW w:w="668" w:type="pct"/>
            <w:vMerge w:val="restar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b/>
                <w:bCs/>
              </w:rPr>
              <w:t>Mã</w:t>
            </w:r>
          </w:p>
        </w:tc>
        <w:tc>
          <w:tcPr>
            <w:tcW w:w="558" w:type="pct"/>
            <w:vMerge w:val="restar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b/>
                <w:bCs/>
              </w:rPr>
              <w:t>Cả thời kỳ</w:t>
            </w:r>
          </w:p>
        </w:tc>
        <w:tc>
          <w:tcPr>
            <w:tcW w:w="1050" w:type="pct"/>
            <w:gridSpan w:val="2"/>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b/>
                <w:bCs/>
              </w:rPr>
              <w:t>Các kỳ kế hoạch</w:t>
            </w:r>
          </w:p>
        </w:tc>
      </w:tr>
      <w:tr w:rsidR="00221388" w:rsidRPr="00221388" w:rsidTr="007A04A5">
        <w:tblPrEx>
          <w:tblCellMar>
            <w:top w:w="0" w:type="dxa"/>
            <w:left w:w="0" w:type="dxa"/>
            <w:bottom w:w="0" w:type="dxa"/>
            <w:right w:w="0" w:type="dxa"/>
          </w:tblCellMar>
        </w:tblPrEx>
        <w:tc>
          <w:tcPr>
            <w:tcW w:w="441" w:type="pct"/>
            <w:vMerge/>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2283" w:type="pct"/>
            <w:vMerge/>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668" w:type="pct"/>
            <w:vMerge/>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58" w:type="pct"/>
            <w:vMerge/>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Kỳ đầu, đến năm….</w:t>
            </w: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Kỳ cuối, đến năm….</w:t>
            </w: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(1)</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(2)</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(3)</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(4)=(5)+(6)</w:t>
            </w: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(5)</w:t>
            </w: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(6)</w:t>
            </w: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b/>
                <w:bCs/>
              </w:rPr>
              <w:t>1</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rPr>
                <w:b/>
                <w:bCs/>
              </w:rPr>
              <w:t>Chuyển đất nông nghiệp sang đất phi</w:t>
            </w:r>
            <w:r w:rsidRPr="00221388">
              <w:t xml:space="preserve"> </w:t>
            </w:r>
            <w:r w:rsidRPr="00221388">
              <w:rPr>
                <w:b/>
                <w:bCs/>
              </w:rPr>
              <w:t>nông nghiệp</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b/>
                <w:bCs/>
              </w:rPr>
              <w:t>NNP/PNN</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rPr>
                <w:i/>
                <w:iCs/>
              </w:rPr>
              <w:t>Trong đó:</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1.1</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Đất trồng lúa</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LUA/PNN</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1.2</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Đất trồng cây hằng năm khác</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HNK/PNN</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1.3</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Đất trồng cây lâu năm</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CLN/PNN</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1.4</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Đất rừng đặc dụng</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RDD/PNN</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1.5</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Đất rừng phòng hộ</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RPH/PNN</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1.6</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Đất rừng sản xuất</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RSX/PNN</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rPr>
                <w:i/>
                <w:iCs/>
              </w:rPr>
              <w:t>Trong đó: đất rừng sản xuất là rừng tự</w:t>
            </w:r>
            <w:r w:rsidRPr="00221388">
              <w:t xml:space="preserve"> </w:t>
            </w:r>
            <w:r w:rsidRPr="00221388">
              <w:rPr>
                <w:i/>
                <w:iCs/>
              </w:rPr>
              <w:t>nhiên</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i/>
                <w:iCs/>
              </w:rPr>
              <w:t>RSN/PNN</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1.7</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Đất nuôi trồng thủy sản</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NTS/PNN</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1.8</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Đất chăn nuôi tập trung</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CNT/PNN</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1.9</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Đất làm muối</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LMU/PNN</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1.10</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Đất nông nghiệp khác</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NKH/PNN</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b/>
                <w:bCs/>
              </w:rPr>
              <w:t>2</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rPr>
                <w:b/>
                <w:bCs/>
              </w:rPr>
              <w:t>Chuyển đổi cơ cấu sử dụng đất trong nội</w:t>
            </w:r>
            <w:r w:rsidRPr="00221388">
              <w:t xml:space="preserve"> </w:t>
            </w:r>
            <w:r w:rsidRPr="00221388">
              <w:rPr>
                <w:b/>
                <w:bCs/>
              </w:rPr>
              <w:t>bộ đất nông nghiệp</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rPr>
                <w:i/>
                <w:iCs/>
              </w:rPr>
              <w:t>Trong đó:</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i/>
                <w:iCs/>
              </w:rPr>
              <w:t>-</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2.1</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Chuyển đất trồng lúa sang loại đất khác trong nhóm đất nông nghiệp</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LUA/NNP</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2.2</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Chuyển đất rừng đặc dụng sang loại đất khác trong nhóm đất nông nghiệp</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RDD/NNP</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2.3</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Chuyển đất rừng phòng hộ sang loại đất khác trong nhóm đất nông nghiệp</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RPH/NNP</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2.4</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Chuyển đất rừng sản xuất sang loại đất khác trong nhóm đất nông nghiệp</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RSX/NNP</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b/>
                <w:bCs/>
              </w:rPr>
              <w:lastRenderedPageBreak/>
              <w:t>3</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rPr>
                <w:b/>
                <w:bCs/>
              </w:rPr>
              <w:t>Chuyển các loại đất khác sang đất chăn</w:t>
            </w:r>
            <w:r w:rsidRPr="00221388">
              <w:t xml:space="preserve"> </w:t>
            </w:r>
            <w:r w:rsidRPr="00221388">
              <w:rPr>
                <w:b/>
                <w:bCs/>
              </w:rPr>
              <w:t>nuôi tập trung khi thực hiện các dự án</w:t>
            </w:r>
            <w:r w:rsidRPr="00221388">
              <w:t xml:space="preserve"> </w:t>
            </w:r>
            <w:r w:rsidRPr="00221388">
              <w:rPr>
                <w:b/>
                <w:bCs/>
              </w:rPr>
              <w:t>chăn nuôi tập trung quy mô lớn</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b/>
                <w:bCs/>
              </w:rPr>
              <w:t>MHT/CNT</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b/>
                <w:bCs/>
              </w:rPr>
              <w:t>4</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rPr>
                <w:b/>
                <w:bCs/>
              </w:rPr>
              <w:t>Chuyển đổi cơ cấu sử dụng đất trong nội</w:t>
            </w:r>
            <w:r w:rsidRPr="00221388">
              <w:t xml:space="preserve"> </w:t>
            </w:r>
            <w:r w:rsidRPr="00221388">
              <w:rPr>
                <w:b/>
                <w:bCs/>
              </w:rPr>
              <w:t>bộ đất phi nông nghiệp</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b/>
                <w:bCs/>
              </w:rPr>
              <w:t>-</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i/>
                <w:iCs/>
              </w:rPr>
              <w:t>-</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rPr>
                <w:i/>
                <w:iCs/>
              </w:rPr>
              <w:t>Trong đó:</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rPr>
                <w:i/>
                <w:iCs/>
              </w:rPr>
              <w:t>-</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4.1</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Chuyển đất phi nông nghiệp được quy định tại Điều 118 Luật Đất đai sang các loại đất phi nông nghiệp quy định tại Điều 119 hoặc Điều 120 Luật Đất đai</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MHT/PNC</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4.2</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Đất phi nông nghiệp không phải là đất ở chuyển sang đất ở</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MHT/OTC</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4.3</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Chuyển đất xây dựng công trình sự nghiệp sang đất sản xuất, kinh doanh phi nông nghiệp</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MHT/CSK</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4.4</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Chuyển đất xây dựng công trình công cộng có mục đích kinh doanh sang đất sản xuất, kinh doanh phi nông nghiệp</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MHT/CSK</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r w:rsidR="00221388" w:rsidRPr="00221388" w:rsidTr="007A04A5">
        <w:tblPrEx>
          <w:tblCellMar>
            <w:top w:w="0" w:type="dxa"/>
            <w:left w:w="0" w:type="dxa"/>
            <w:bottom w:w="0" w:type="dxa"/>
            <w:right w:w="0" w:type="dxa"/>
          </w:tblCellMar>
        </w:tblPrEx>
        <w:tc>
          <w:tcPr>
            <w:tcW w:w="441"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4.5</w:t>
            </w:r>
          </w:p>
        </w:tc>
        <w:tc>
          <w:tcPr>
            <w:tcW w:w="2283" w:type="pct"/>
            <w:shd w:val="clear" w:color="auto" w:fill="auto"/>
            <w:vAlign w:val="center"/>
          </w:tcPr>
          <w:p w:rsidR="00221388" w:rsidRPr="00221388" w:rsidRDefault="00221388" w:rsidP="007A04A5">
            <w:pPr>
              <w:widowControl w:val="0"/>
              <w:autoSpaceDE w:val="0"/>
              <w:autoSpaceDN w:val="0"/>
              <w:adjustRightInd w:val="0"/>
              <w:spacing w:before="120"/>
            </w:pPr>
            <w:r w:rsidRPr="00221388">
              <w:t>Chuyển đất sản xuất, kinh doanh phi nông nghiệp không phải đất thương mại, dịch vụ sang đất thương mại, dịch vụ</w:t>
            </w:r>
          </w:p>
        </w:tc>
        <w:tc>
          <w:tcPr>
            <w:tcW w:w="668" w:type="pct"/>
            <w:shd w:val="clear" w:color="auto" w:fill="auto"/>
            <w:vAlign w:val="center"/>
          </w:tcPr>
          <w:p w:rsidR="00221388" w:rsidRPr="00221388" w:rsidRDefault="00221388" w:rsidP="007A04A5">
            <w:pPr>
              <w:widowControl w:val="0"/>
              <w:autoSpaceDE w:val="0"/>
              <w:autoSpaceDN w:val="0"/>
              <w:adjustRightInd w:val="0"/>
              <w:spacing w:before="120"/>
              <w:jc w:val="center"/>
            </w:pPr>
            <w:r w:rsidRPr="00221388">
              <w:t>MHT/TMD</w:t>
            </w:r>
          </w:p>
        </w:tc>
        <w:tc>
          <w:tcPr>
            <w:tcW w:w="558"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44" w:type="pct"/>
            <w:shd w:val="clear" w:color="auto" w:fill="auto"/>
            <w:vAlign w:val="center"/>
          </w:tcPr>
          <w:p w:rsidR="00221388" w:rsidRPr="00221388" w:rsidRDefault="00221388" w:rsidP="007A04A5">
            <w:pPr>
              <w:widowControl w:val="0"/>
              <w:autoSpaceDE w:val="0"/>
              <w:autoSpaceDN w:val="0"/>
              <w:adjustRightInd w:val="0"/>
              <w:spacing w:before="120"/>
              <w:jc w:val="center"/>
            </w:pPr>
          </w:p>
        </w:tc>
        <w:tc>
          <w:tcPr>
            <w:tcW w:w="506" w:type="pct"/>
            <w:shd w:val="clear" w:color="auto" w:fill="auto"/>
            <w:vAlign w:val="center"/>
          </w:tcPr>
          <w:p w:rsidR="00221388" w:rsidRPr="00221388" w:rsidRDefault="00221388" w:rsidP="007A04A5">
            <w:pPr>
              <w:widowControl w:val="0"/>
              <w:autoSpaceDE w:val="0"/>
              <w:autoSpaceDN w:val="0"/>
              <w:adjustRightInd w:val="0"/>
              <w:spacing w:before="120"/>
              <w:jc w:val="center"/>
            </w:pPr>
          </w:p>
        </w:tc>
      </w:tr>
    </w:tbl>
    <w:p w:rsidR="00221388" w:rsidRPr="00221388" w:rsidRDefault="00221388" w:rsidP="00221388">
      <w:pPr>
        <w:widowControl w:val="0"/>
        <w:autoSpaceDE w:val="0"/>
        <w:autoSpaceDN w:val="0"/>
        <w:adjustRightInd w:val="0"/>
        <w:spacing w:before="120"/>
      </w:pPr>
      <w:r w:rsidRPr="00221388">
        <w:rPr>
          <w:i/>
          <w:iCs/>
        </w:rPr>
        <w:t>Ghi chú:</w:t>
      </w:r>
    </w:p>
    <w:p w:rsidR="00221388" w:rsidRPr="00221388" w:rsidRDefault="00221388" w:rsidP="00221388">
      <w:pPr>
        <w:widowControl w:val="0"/>
        <w:autoSpaceDE w:val="0"/>
        <w:autoSpaceDN w:val="0"/>
        <w:adjustRightInd w:val="0"/>
        <w:spacing w:before="120"/>
      </w:pPr>
      <w:r w:rsidRPr="00221388">
        <w:t xml:space="preserve">NNP là mã đất bổ sung, bao gồm các loại đất khác trong nhóm đất nông nghiệp; </w:t>
      </w:r>
    </w:p>
    <w:p w:rsidR="00221388" w:rsidRPr="00221388" w:rsidRDefault="00221388" w:rsidP="00221388">
      <w:pPr>
        <w:widowControl w:val="0"/>
        <w:autoSpaceDE w:val="0"/>
        <w:autoSpaceDN w:val="0"/>
        <w:adjustRightInd w:val="0"/>
        <w:spacing w:before="120"/>
      </w:pPr>
      <w:r w:rsidRPr="00221388">
        <w:t>PNN là mã loại đất theo quy hoạch</w:t>
      </w:r>
    </w:p>
    <w:p w:rsidR="00221388" w:rsidRPr="00221388" w:rsidRDefault="00221388" w:rsidP="00221388">
      <w:pPr>
        <w:widowControl w:val="0"/>
        <w:autoSpaceDE w:val="0"/>
        <w:autoSpaceDN w:val="0"/>
        <w:adjustRightInd w:val="0"/>
        <w:spacing w:before="120"/>
      </w:pPr>
      <w:r w:rsidRPr="00221388">
        <w:t>MHT là mã đất theo hiện trạng sử dụng đất</w:t>
      </w:r>
    </w:p>
    <w:p w:rsidR="005B417D" w:rsidRPr="00221388" w:rsidRDefault="005B417D"/>
    <w:sectPr w:rsidR="005B417D" w:rsidRPr="00221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88"/>
    <w:rsid w:val="00221388"/>
    <w:rsid w:val="00353647"/>
    <w:rsid w:val="00514402"/>
    <w:rsid w:val="005B417D"/>
    <w:rsid w:val="0071134A"/>
    <w:rsid w:val="00D4021D"/>
    <w:rsid w:val="00EE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7FE5B-48D0-4FE2-BA8F-6EFD8ACB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8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213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13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13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138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2138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2138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2138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2138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2138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388"/>
    <w:rPr>
      <w:rFonts w:eastAsiaTheme="majorEastAsia" w:cstheme="majorBidi"/>
      <w:color w:val="272727" w:themeColor="text1" w:themeTint="D8"/>
    </w:rPr>
  </w:style>
  <w:style w:type="paragraph" w:styleId="Title">
    <w:name w:val="Title"/>
    <w:basedOn w:val="Normal"/>
    <w:next w:val="Normal"/>
    <w:link w:val="TitleChar"/>
    <w:uiPriority w:val="10"/>
    <w:qFormat/>
    <w:rsid w:val="002213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1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3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1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38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21388"/>
    <w:rPr>
      <w:i/>
      <w:iCs/>
      <w:color w:val="404040" w:themeColor="text1" w:themeTint="BF"/>
    </w:rPr>
  </w:style>
  <w:style w:type="paragraph" w:styleId="ListParagraph">
    <w:name w:val="List Paragraph"/>
    <w:basedOn w:val="Normal"/>
    <w:uiPriority w:val="34"/>
    <w:qFormat/>
    <w:rsid w:val="0022138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21388"/>
    <w:rPr>
      <w:i/>
      <w:iCs/>
      <w:color w:val="0F4761" w:themeColor="accent1" w:themeShade="BF"/>
    </w:rPr>
  </w:style>
  <w:style w:type="paragraph" w:styleId="IntenseQuote">
    <w:name w:val="Intense Quote"/>
    <w:basedOn w:val="Normal"/>
    <w:next w:val="Normal"/>
    <w:link w:val="IntenseQuoteChar"/>
    <w:uiPriority w:val="30"/>
    <w:qFormat/>
    <w:rsid w:val="002213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21388"/>
    <w:rPr>
      <w:i/>
      <w:iCs/>
      <w:color w:val="0F4761" w:themeColor="accent1" w:themeShade="BF"/>
    </w:rPr>
  </w:style>
  <w:style w:type="character" w:styleId="IntenseReference">
    <w:name w:val="Intense Reference"/>
    <w:basedOn w:val="DefaultParagraphFont"/>
    <w:uiPriority w:val="32"/>
    <w:qFormat/>
    <w:rsid w:val="002213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2025-01-13T01:55:00Z</dcterms:created>
  <dcterms:modified xsi:type="dcterms:W3CDTF">2025-01-13T01:55:00Z</dcterms:modified>
</cp:coreProperties>
</file>