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30" w:rsidRPr="00090B30" w:rsidRDefault="00090B30" w:rsidP="00090B30">
      <w:pPr>
        <w:widowControl w:val="0"/>
        <w:autoSpaceDE w:val="0"/>
        <w:autoSpaceDN w:val="0"/>
        <w:adjustRightInd w:val="0"/>
        <w:spacing w:before="120"/>
        <w:jc w:val="center"/>
        <w:rPr>
          <w:b/>
        </w:rPr>
      </w:pPr>
      <w:r w:rsidRPr="00090B30">
        <w:rPr>
          <w:b/>
          <w:bCs/>
        </w:rPr>
        <w:t>PHỤ LỤC VI:</w:t>
      </w:r>
    </w:p>
    <w:p w:rsidR="00090B30" w:rsidRPr="00090B30" w:rsidRDefault="00090B30" w:rsidP="00090B30">
      <w:pPr>
        <w:widowControl w:val="0"/>
        <w:autoSpaceDE w:val="0"/>
        <w:autoSpaceDN w:val="0"/>
        <w:adjustRightInd w:val="0"/>
        <w:spacing w:before="120"/>
        <w:jc w:val="center"/>
      </w:pPr>
      <w:r w:rsidRPr="00090B30">
        <w:rPr>
          <w:bCs/>
        </w:rPr>
        <w:t>HƯỚNG DẪN LẬP BẢN ĐỒ KIỂM KÊ ĐẤT ĐAI</w:t>
      </w:r>
      <w:r w:rsidRPr="00090B30">
        <w:rPr>
          <w:bCs/>
        </w:rPr>
        <w:br/>
      </w:r>
      <w:r w:rsidRPr="00090B30">
        <w:rPr>
          <w:i/>
          <w:iCs/>
        </w:rPr>
        <w:t>(Ban hành kèm theo Thông tư số 08/2024/TT-BTNMT ngày 31 tháng 7 năm 2024 của Bộ trưởng Bộ Tài nguyên và Môi trường)</w:t>
      </w:r>
    </w:p>
    <w:p w:rsidR="00090B30" w:rsidRPr="00090B30" w:rsidRDefault="00090B30" w:rsidP="00090B30">
      <w:pPr>
        <w:widowControl w:val="0"/>
        <w:autoSpaceDE w:val="0"/>
        <w:autoSpaceDN w:val="0"/>
        <w:adjustRightInd w:val="0"/>
        <w:spacing w:before="120"/>
      </w:pPr>
      <w:r w:rsidRPr="00090B30">
        <w:rPr>
          <w:b/>
          <w:bCs/>
        </w:rPr>
        <w:t>I. LỰA CHỌN BẢN ĐỒ, DỮ LIỆU SỬ DỤNG TRONG CÔNG TÁC ĐIỀU TRA KIỂM KÊ ĐẤT ĐAI Ở CẤP XÃ</w:t>
      </w:r>
    </w:p>
    <w:p w:rsidR="00090B30" w:rsidRPr="00090B30" w:rsidRDefault="00090B30" w:rsidP="00090B30">
      <w:pPr>
        <w:widowControl w:val="0"/>
        <w:autoSpaceDE w:val="0"/>
        <w:autoSpaceDN w:val="0"/>
        <w:adjustRightInd w:val="0"/>
        <w:spacing w:before="120"/>
      </w:pPr>
      <w:r w:rsidRPr="00090B30">
        <w:t>1. Sử dụng bản đồ kiểm kê đất đai đã lập kỳ trước và đã được rà soát, cập nhật trong các năm thống kê đất đai.</w:t>
      </w:r>
    </w:p>
    <w:p w:rsidR="00090B30" w:rsidRPr="00090B30" w:rsidRDefault="00090B30" w:rsidP="00090B30">
      <w:pPr>
        <w:widowControl w:val="0"/>
        <w:autoSpaceDE w:val="0"/>
        <w:autoSpaceDN w:val="0"/>
        <w:adjustRightInd w:val="0"/>
        <w:spacing w:before="120"/>
      </w:pPr>
      <w:r w:rsidRPr="00090B30">
        <w:t>2. Đối với nơi đã có cơ sở dữ liệu đất đai được xây dựng sau thời điểm lập bản đồ kiểm kê đất đai kỳ trước thì sử dụng cơ sở dữ liệu đất đai để điều tra kiểm kê.</w:t>
      </w:r>
    </w:p>
    <w:p w:rsidR="00090B30" w:rsidRPr="00090B30" w:rsidRDefault="00090B30" w:rsidP="00090B30">
      <w:pPr>
        <w:widowControl w:val="0"/>
        <w:autoSpaceDE w:val="0"/>
        <w:autoSpaceDN w:val="0"/>
        <w:adjustRightInd w:val="0"/>
        <w:spacing w:before="120"/>
      </w:pPr>
      <w:r w:rsidRPr="00090B30">
        <w:t>3. Đối với nơi chưa có cơ sở dữ liệu đất đai nhưng đã có bản đồ địa chính thành lập sau thời điểm lập bản đồ kiểm kê đất đai kỳ trước thì sử dụng bản đồ địa chính.</w:t>
      </w:r>
    </w:p>
    <w:p w:rsidR="00090B30" w:rsidRPr="00090B30" w:rsidRDefault="00090B30" w:rsidP="00090B30">
      <w:pPr>
        <w:widowControl w:val="0"/>
        <w:autoSpaceDE w:val="0"/>
        <w:autoSpaceDN w:val="0"/>
        <w:adjustRightInd w:val="0"/>
        <w:spacing w:before="120"/>
      </w:pPr>
      <w:r w:rsidRPr="00090B30">
        <w:t>Đối với nơi có bản đồ kiểm kê đất đai kỳ trước được lập từ bản đồ địa chính nhưng tại thời điểm kiểm kê đất đai chưa xây dựng và vận hành cơ sở dữ liệu đất đai thì sử dụng bản đồ kiểm kê đất đai kỳ trước.</w:t>
      </w:r>
    </w:p>
    <w:p w:rsidR="00090B30" w:rsidRPr="00090B30" w:rsidRDefault="00090B30" w:rsidP="00090B30">
      <w:pPr>
        <w:widowControl w:val="0"/>
        <w:autoSpaceDE w:val="0"/>
        <w:autoSpaceDN w:val="0"/>
        <w:adjustRightInd w:val="0"/>
        <w:spacing w:before="120"/>
      </w:pPr>
      <w:r w:rsidRPr="00090B30">
        <w:t>4. Đối với nơi đã có bản đồ kiểm kê đất đai kỳ trước nhưng không được lập trên cơ sở bản đồ địa chính và không có các nguồn tài liệu tại điểm 2 và 3 mục này thì sử dụng các nguồn tài liệu sau (nếu có): bình đồ ảnh được thành lập từ dữ liệu ảnh viễn thám, dữ liệu ảnh hàng không chụp trước thời điểm kiểm kê không quá 02 năm đã được nắn chỉnh về cơ sở toán học của bản đồ kiểm kê đất đai cần thành lập theo quy định; dữ liệu không gian đất đai nền; cơ sở dữ liệu nền địa lý quốc gia; bản đồ địa hình mới thành lập sau kỳ kiểm kê đất đai gần nhất có tỷ lệ lớn hơn hoặc bằng tỷ lệ bản đồ kiểm kê đất đai đã lập kỳ trước để rà soát, cập nhật bản đồ kiểm kê đất đai đã lập kỳ trước.</w:t>
      </w:r>
    </w:p>
    <w:p w:rsidR="00090B30" w:rsidRPr="00090B30" w:rsidRDefault="00090B30" w:rsidP="00090B30">
      <w:pPr>
        <w:widowControl w:val="0"/>
        <w:autoSpaceDE w:val="0"/>
        <w:autoSpaceDN w:val="0"/>
        <w:adjustRightInd w:val="0"/>
        <w:spacing w:before="120"/>
      </w:pPr>
      <w:r w:rsidRPr="00090B30">
        <w:rPr>
          <w:b/>
          <w:bCs/>
        </w:rPr>
        <w:t>II. XỬ LÝ, TỔNG HỢP CÁC NGUỒN BẢN ĐỒ, DỮ LIỆU PHỤC VỤ ĐIỀU TRA, KHOANH VẼ VÀ LẬP BẢN ĐỒ KIỂM KÊ ĐẤT ĐAI</w:t>
      </w:r>
    </w:p>
    <w:p w:rsidR="00090B30" w:rsidRPr="00090B30" w:rsidRDefault="00090B30" w:rsidP="00090B30">
      <w:pPr>
        <w:widowControl w:val="0"/>
        <w:autoSpaceDE w:val="0"/>
        <w:autoSpaceDN w:val="0"/>
        <w:adjustRightInd w:val="0"/>
        <w:spacing w:before="120"/>
      </w:pPr>
      <w:r w:rsidRPr="00090B30">
        <w:t>1. Đối với nơi sử dụng nguồn bản đồ, dữ liệu quy định tại điểm 4 mục I Phụ lục này thì rà soát, cập nhật, bổ sung nội dung có thay đổi từ nguồn bản đồ, dữ liệu này vào bản đồ kiểm kê đất đai đã lập kỳ trước.</w:t>
      </w:r>
    </w:p>
    <w:p w:rsidR="00090B30" w:rsidRPr="00090B30" w:rsidRDefault="00090B30" w:rsidP="00090B30">
      <w:pPr>
        <w:widowControl w:val="0"/>
        <w:autoSpaceDE w:val="0"/>
        <w:autoSpaceDN w:val="0"/>
        <w:adjustRightInd w:val="0"/>
        <w:spacing w:before="120"/>
      </w:pPr>
      <w:r w:rsidRPr="00090B30">
        <w:t>Trường hợp sử dụng bình đồ ảnh thì thực hiện điều vẽ nội nghiệp đối với những đường ranh giới khoanh đất và các đối tượng chiếm đất liên quan có hình ảnh rõ nét theo yêu cầu của bản đồ kiểm kê đất đai và cập nhật lên bản đồ kiểm kê đất đai đã lập kỳ trước; trường hợp có sai khác giữa hình ảnh trên bình đồ ảnh với bản đồ kiểm kê đất đai thì chỉnh lý theo bình đồ ảnh viễn thám, bình đồ ảnh hàng không, giữ nguyên các yếu tố nền ảnh ở dạng raster để phục vụ điều tra, khoanh vẽ.</w:t>
      </w:r>
    </w:p>
    <w:p w:rsidR="00090B30" w:rsidRPr="00090B30" w:rsidRDefault="00090B30" w:rsidP="00090B30">
      <w:pPr>
        <w:widowControl w:val="0"/>
        <w:autoSpaceDE w:val="0"/>
        <w:autoSpaceDN w:val="0"/>
        <w:adjustRightInd w:val="0"/>
        <w:spacing w:before="120"/>
      </w:pPr>
      <w:r w:rsidRPr="00090B30">
        <w:t>2. Rà soát, cập nhật khoanh vẽ nội nghiệp vào bản đồ, dữ liệu quy định tại mục I Phụ lục này đối với các trường hợp có biến động từ hồ sơ giao đất, cho thuê đất, thu hồi đất, chuyển mục đích sử dụng đất, đăng ký biến động đất đai (theo bản tổng hợp các trường hợp biến động đất đai do cơ quan có chức năng quản lý đất đai cấp huyện, Văn phòng đăng ký đất đai chuyển đến), hồ sơ kiểm kê rừng của ngành nông nghiệp và cơ sở dữ liệu đất lúa đã thực hiện trong kỳ kiểm kê đất đai.</w:t>
      </w:r>
    </w:p>
    <w:p w:rsidR="00090B30" w:rsidRPr="00090B30" w:rsidRDefault="00090B30" w:rsidP="00090B30">
      <w:pPr>
        <w:widowControl w:val="0"/>
        <w:autoSpaceDE w:val="0"/>
        <w:autoSpaceDN w:val="0"/>
        <w:adjustRightInd w:val="0"/>
        <w:spacing w:before="120"/>
      </w:pPr>
      <w:r w:rsidRPr="00090B30">
        <w:t xml:space="preserve">3. Đối với nơi sử dụng nguồn bản đồ, dữ liệu quy định tại các điểm 2 và 3 mục I Phụ lục này thì </w:t>
      </w:r>
      <w:r w:rsidRPr="00090B30">
        <w:lastRenderedPageBreak/>
        <w:t>biên tập tổng hợp các thửa đất thành các khoanh đất theo quy định tại khoản 1 Điều 20 của Thông tư này để điều tra kiểm kê. Trường hợp địa phương có bản đồ địa chính ở nhiều loại tỷ lệ khác nhau thì biên tập về cùng một tỷ lệ phù hợp với tỷ lệ của bản đồ kiểm kê đất đai cần thành lập.</w:t>
      </w:r>
    </w:p>
    <w:p w:rsidR="00090B30" w:rsidRPr="00090B30" w:rsidRDefault="00090B30" w:rsidP="00090B30">
      <w:pPr>
        <w:widowControl w:val="0"/>
        <w:autoSpaceDE w:val="0"/>
        <w:autoSpaceDN w:val="0"/>
        <w:adjustRightInd w:val="0"/>
        <w:spacing w:before="120"/>
      </w:pPr>
      <w:r w:rsidRPr="00090B30">
        <w:t>4. Rà soát đường biên giới, đường địa giới đơn vị hành chính trên bản đồ sử dụng để điều tra kiểm kê để cập nhật cho thống nhất với bản đồ biên giới, bản đồ địa giới hành chính mới nhất đã được cơ quan có thẩm quyền phê duyệt, công bố.</w:t>
      </w:r>
    </w:p>
    <w:p w:rsidR="00090B30" w:rsidRPr="00090B30" w:rsidRDefault="00090B30" w:rsidP="00090B30">
      <w:pPr>
        <w:widowControl w:val="0"/>
        <w:autoSpaceDE w:val="0"/>
        <w:autoSpaceDN w:val="0"/>
        <w:adjustRightInd w:val="0"/>
        <w:spacing w:before="120"/>
      </w:pPr>
      <w:r w:rsidRPr="00090B30">
        <w:t>Trường hợp khu vực không thống nhất đường địa giới đơn vị hành chính giữa thực tế đang quản lý với hồ sơ địa giới đơn vị hành chính thì trên bản đồ sử dụng để điều tra kiểm kê phải thể hiện đường địa giới đơn vị hành chính thực tế đang quản lý. Trường hợp khu vực không thống nhất về địa giới hành chính thì trên bản đồ sử dụng để điều tra kiểm kê phải thể hiện đường địa giới đơn vị hành chính khu vực không thống nhất theo ý kiến của các bên liên quan.</w:t>
      </w:r>
    </w:p>
    <w:p w:rsidR="00090B30" w:rsidRPr="00090B30" w:rsidRDefault="00090B30" w:rsidP="00090B30">
      <w:pPr>
        <w:widowControl w:val="0"/>
        <w:autoSpaceDE w:val="0"/>
        <w:autoSpaceDN w:val="0"/>
        <w:adjustRightInd w:val="0"/>
        <w:spacing w:before="120"/>
      </w:pPr>
      <w:r w:rsidRPr="00090B30">
        <w:t>Việc thể hiện yếu tố địa giới hành chính các cấp trên bản đồ sử dụng để điều tra kiểm kê đất đai dạng số phải đáp ứng các yêu cầu tự động hóa trong tính toán, thống kê báo cáo diện tích các loại đất, cho phép kiểm tra sự phù hợp về số liệu thống kê loại đất từ cấp xã đến cấp tỉnh và cả nước. Khi đường địa giới đơn vị hành chính các cấp trùng nhau thì ưu tiên biểu thị đường địa giới đơn vị hành chính cấp cao nhất.</w:t>
      </w:r>
    </w:p>
    <w:p w:rsidR="00090B30" w:rsidRPr="00090B30" w:rsidRDefault="00090B30" w:rsidP="00090B30">
      <w:pPr>
        <w:widowControl w:val="0"/>
        <w:autoSpaceDE w:val="0"/>
        <w:autoSpaceDN w:val="0"/>
        <w:adjustRightInd w:val="0"/>
        <w:spacing w:before="120"/>
      </w:pPr>
      <w:r w:rsidRPr="00090B30">
        <w:rPr>
          <w:b/>
          <w:bCs/>
        </w:rPr>
        <w:t>III. ĐIỀU TRA, KHOANH VẼ, CẬP NHẬT RANH GIỚI CÁC KHOANH ĐẤT VÀ CÁC ĐỐI TƯỢNG CHIẾM ĐẤT KHÁC CÓ LIÊN QUAN TRÊN THỰC ĐỊA</w:t>
      </w:r>
    </w:p>
    <w:p w:rsidR="00090B30" w:rsidRPr="00090B30" w:rsidRDefault="00090B30" w:rsidP="00090B30">
      <w:pPr>
        <w:widowControl w:val="0"/>
        <w:autoSpaceDE w:val="0"/>
        <w:autoSpaceDN w:val="0"/>
        <w:adjustRightInd w:val="0"/>
        <w:spacing w:before="120"/>
      </w:pPr>
      <w:r w:rsidRPr="00090B30">
        <w:t>1. Đối soát ranh giới, loại đất, đối tượng sử dụng, đối tượng quản lý của các khoanh đất và các đối tượng chiếm đất khác có liên quan bằng phương pháp so sánh tương quan giữa bản đồ và thực địa để xác định các trường hợp cần khoanh vẽ bổ sung, cập nhật bản đồ cho phù hợp với hiện trạng.</w:t>
      </w:r>
    </w:p>
    <w:p w:rsidR="00090B30" w:rsidRPr="00090B30" w:rsidRDefault="00090B30" w:rsidP="00090B30">
      <w:pPr>
        <w:widowControl w:val="0"/>
        <w:autoSpaceDE w:val="0"/>
        <w:autoSpaceDN w:val="0"/>
        <w:adjustRightInd w:val="0"/>
        <w:spacing w:before="120"/>
      </w:pPr>
      <w:r w:rsidRPr="00090B30">
        <w:t>Trường hợp phải khoanh vẽ, cập nhật ranh giới hoặc chia tách khoanh đất thì áp dụng phương pháp giao hội cạnh hoặc tọa độ vuông góc từ các điểm chi tiết rõ nét trên thực địa đã được biểu thị trên bản đồ; việc xác định chiều dài cạnh giao hội hoặc cạnh vuông góc có thể được đo bằng thước dây hoặc các dụng cụ đo khác có độ chính xác tương đương trở lên.</w:t>
      </w:r>
    </w:p>
    <w:p w:rsidR="00090B30" w:rsidRPr="00090B30" w:rsidRDefault="00090B30" w:rsidP="00090B30">
      <w:pPr>
        <w:widowControl w:val="0"/>
        <w:autoSpaceDE w:val="0"/>
        <w:autoSpaceDN w:val="0"/>
        <w:adjustRightInd w:val="0"/>
        <w:spacing w:before="120"/>
      </w:pPr>
      <w:r w:rsidRPr="00090B30">
        <w:t>2. Ranh giới chiếm đất của các đối tượng về thủy hệ, giao thông được khoanh vẽ theo yêu cầu sau:</w:t>
      </w:r>
    </w:p>
    <w:p w:rsidR="00090B30" w:rsidRPr="00090B30" w:rsidRDefault="00090B30" w:rsidP="00090B30">
      <w:pPr>
        <w:widowControl w:val="0"/>
        <w:autoSpaceDE w:val="0"/>
        <w:autoSpaceDN w:val="0"/>
        <w:adjustRightInd w:val="0"/>
        <w:spacing w:before="120"/>
      </w:pPr>
      <w:r w:rsidRPr="00090B30">
        <w:t>a) Ranh giới công trình thủy lợi, giao thông thể hiện theo đường chân Taluy (đối với công trình đắp cao) hoặc theo đường đỉnh Taluy (đối với công trình đào sâu);</w:t>
      </w:r>
    </w:p>
    <w:p w:rsidR="00090B30" w:rsidRPr="00090B30" w:rsidRDefault="00090B30" w:rsidP="00090B30">
      <w:pPr>
        <w:widowControl w:val="0"/>
        <w:autoSpaceDE w:val="0"/>
        <w:autoSpaceDN w:val="0"/>
        <w:adjustRightInd w:val="0"/>
        <w:spacing w:before="120"/>
      </w:pPr>
      <w:r w:rsidRPr="00090B30">
        <w:t>b) Ranh giới các đối tượng thủy văn hình thành tự nhiên (hồ, sông, ngòi, kênh, rạch, suối) thì thể hiện theo mép đỉnh mái trượt của đối tượng thủy văn; trường hợp đối tượng thủy văn có đường bờ bao thì ranh giới đối tượng thủy văn thể hiện theo chân phía ngoài của đường bờ bao.</w:t>
      </w:r>
    </w:p>
    <w:p w:rsidR="00090B30" w:rsidRPr="00090B30" w:rsidRDefault="00090B30" w:rsidP="00090B30">
      <w:pPr>
        <w:widowControl w:val="0"/>
        <w:autoSpaceDE w:val="0"/>
        <w:autoSpaceDN w:val="0"/>
        <w:adjustRightInd w:val="0"/>
        <w:spacing w:before="120"/>
      </w:pPr>
      <w:r w:rsidRPr="00090B30">
        <w:rPr>
          <w:b/>
          <w:bCs/>
        </w:rPr>
        <w:t>IV. LẬP BẢN ĐỒ KIỂM KÊ ĐẤT ĐAI CẤP XÃ</w:t>
      </w:r>
    </w:p>
    <w:p w:rsidR="00090B30" w:rsidRPr="00090B30" w:rsidRDefault="00090B30" w:rsidP="00090B30">
      <w:pPr>
        <w:widowControl w:val="0"/>
        <w:autoSpaceDE w:val="0"/>
        <w:autoSpaceDN w:val="0"/>
        <w:adjustRightInd w:val="0"/>
        <w:spacing w:before="120"/>
      </w:pPr>
      <w:r w:rsidRPr="00090B30">
        <w:t>1. Bản đồ kiểm kê đất đai được lập ở dạng số trên cơ sở kết quả điều tra khoanh vẽ trên thực địa.</w:t>
      </w:r>
    </w:p>
    <w:p w:rsidR="00090B30" w:rsidRPr="00090B30" w:rsidRDefault="00090B30" w:rsidP="00090B30">
      <w:pPr>
        <w:widowControl w:val="0"/>
        <w:autoSpaceDE w:val="0"/>
        <w:autoSpaceDN w:val="0"/>
        <w:adjustRightInd w:val="0"/>
        <w:spacing w:before="120"/>
      </w:pPr>
      <w:r w:rsidRPr="00090B30">
        <w:t>2. Trường hợp bản đồ sử dụng để điều tra thực địa không có bản gốc dạng số thì thực hiện quét, số hóa các yếu tố nội dung của bản đồ đã sử dụng và tích hợp, xử lý tiếp biên để lập bản đồ kiểm kê dạng số.</w:t>
      </w:r>
    </w:p>
    <w:p w:rsidR="00090B30" w:rsidRPr="00090B30" w:rsidRDefault="00090B30" w:rsidP="00090B30">
      <w:pPr>
        <w:widowControl w:val="0"/>
        <w:autoSpaceDE w:val="0"/>
        <w:autoSpaceDN w:val="0"/>
        <w:adjustRightInd w:val="0"/>
        <w:spacing w:before="120"/>
      </w:pPr>
      <w:r w:rsidRPr="00090B30">
        <w:t xml:space="preserve">3. Trường hợp ranh giới khoanh đất được xác định bằng phương pháp giao hội hoặc tọa độ vuông góc trên thực địa thì chuyển vẽ lên bản đồ số bằng một trong các phương pháp: quét, số </w:t>
      </w:r>
      <w:r w:rsidRPr="00090B30">
        <w:lastRenderedPageBreak/>
        <w:t>hóa các yếu tố nội dung đã khoanh vẽ ngoài thực địa hoặc tính tọa độ các đỉnh của khoanh đất và đưa lên bản đồ bằng cách nhập tọa độ các điểm hoặc thực hiện dựng hình bằng phương pháp giao hội hoặc tọa độ vuông góc.</w:t>
      </w:r>
    </w:p>
    <w:p w:rsidR="00090B30" w:rsidRPr="00090B30" w:rsidRDefault="00090B30" w:rsidP="00090B30">
      <w:pPr>
        <w:widowControl w:val="0"/>
        <w:autoSpaceDE w:val="0"/>
        <w:autoSpaceDN w:val="0"/>
        <w:adjustRightInd w:val="0"/>
        <w:spacing w:before="120"/>
      </w:pPr>
      <w:r w:rsidRPr="00090B30">
        <w:t>4. Bản đồ kiểm kê đất đai được tổ chức theo các lớp thông tin, trong đó ranh giới các khoanh đất trong cùng một hệ thống chỉ tiêu được xác định cùng lớp thông tin bản đồ. Việc phân lớp thông tin bản đồ kiểm kê đất đai thực hiện theo quy định về phân lớp bản đồ hiện trạng sử dụng đất tại Phụ lục V ban hành kèm theo Thông tư này.</w:t>
      </w:r>
    </w:p>
    <w:p w:rsidR="00090B30" w:rsidRPr="00090B30" w:rsidRDefault="00090B30" w:rsidP="00090B30">
      <w:pPr>
        <w:widowControl w:val="0"/>
        <w:autoSpaceDE w:val="0"/>
        <w:autoSpaceDN w:val="0"/>
        <w:adjustRightInd w:val="0"/>
        <w:spacing w:before="120"/>
      </w:pPr>
      <w:r w:rsidRPr="00090B30">
        <w:t>5. Độ chính xác số hóa, chuyển vẽ, khoanh vẽ các yếu tố nội dung của bản đồ kiểm kê đất đai thực hiện như sau:</w:t>
      </w:r>
    </w:p>
    <w:p w:rsidR="00090B30" w:rsidRPr="00090B30" w:rsidRDefault="00090B30" w:rsidP="00090B30">
      <w:pPr>
        <w:widowControl w:val="0"/>
        <w:autoSpaceDE w:val="0"/>
        <w:autoSpaceDN w:val="0"/>
        <w:adjustRightInd w:val="0"/>
        <w:spacing w:before="120"/>
      </w:pPr>
      <w:r w:rsidRPr="00090B30">
        <w:t>a) Bản đồ số hóa phải bảo đảm sai số kích thước các cạnh khung trong của bản đồ sau khi nắn so với kích thước lý thuyết không vượt quá 0,2 mm và đường chéo không vượt quá 0,3 mm tính theo tỷ lệ bản đồ;</w:t>
      </w:r>
    </w:p>
    <w:p w:rsidR="00090B30" w:rsidRPr="00090B30" w:rsidRDefault="00090B30" w:rsidP="00090B30">
      <w:pPr>
        <w:widowControl w:val="0"/>
        <w:autoSpaceDE w:val="0"/>
        <w:autoSpaceDN w:val="0"/>
        <w:adjustRightInd w:val="0"/>
        <w:spacing w:before="120"/>
      </w:pPr>
      <w:r w:rsidRPr="00090B30">
        <w:t>b) Sai số tương hỗ chuyển vẽ các khoanh đất không vượt quá ±0,5 mm tính theo tỷ lệ bản đồ hiện trạng sử dụng đất;</w:t>
      </w:r>
    </w:p>
    <w:p w:rsidR="00090B30" w:rsidRPr="00090B30" w:rsidRDefault="00090B30" w:rsidP="00090B30">
      <w:pPr>
        <w:widowControl w:val="0"/>
        <w:autoSpaceDE w:val="0"/>
        <w:autoSpaceDN w:val="0"/>
        <w:adjustRightInd w:val="0"/>
        <w:spacing w:before="120"/>
      </w:pPr>
      <w:r w:rsidRPr="00090B30">
        <w:t>c) Sai số chuyển vẽ vị trí các yếu tố nội dung hiện trạng sử dụng đất không được vượt quá ± 0,3 mm tính theo tỷ lệ bản đồ hiện trạng sử dụng đất.</w:t>
      </w:r>
    </w:p>
    <w:p w:rsidR="00090B30" w:rsidRPr="00090B30" w:rsidRDefault="00090B30" w:rsidP="00090B30">
      <w:pPr>
        <w:widowControl w:val="0"/>
        <w:autoSpaceDE w:val="0"/>
        <w:autoSpaceDN w:val="0"/>
        <w:adjustRightInd w:val="0"/>
        <w:spacing w:before="120"/>
      </w:pPr>
      <w:r w:rsidRPr="00090B30">
        <w:t>6. Việc lập bản đồ kiểm kê đất đai ở dạng số thực hiện như sau:</w:t>
      </w:r>
    </w:p>
    <w:p w:rsidR="00090B30" w:rsidRPr="00090B30" w:rsidRDefault="00090B30" w:rsidP="00090B30">
      <w:pPr>
        <w:widowControl w:val="0"/>
        <w:autoSpaceDE w:val="0"/>
        <w:autoSpaceDN w:val="0"/>
        <w:adjustRightInd w:val="0"/>
        <w:spacing w:before="120"/>
      </w:pPr>
      <w:r w:rsidRPr="00090B30">
        <w:t>a) Cơ sở toán học của bản đồ kiểm kê đất đai được lập trong hệ quy chiếu và tọa độ quốc gia VN-2000, hệ độ cao quốc gia, sử dụng lưới chiếu hình trụ ngang đồng góc với múi chiếu 3º có hệ số điều chỉnh tỷ lệ biến dạng chiều dài k</w:t>
      </w:r>
      <w:r w:rsidRPr="00090B30">
        <w:rPr>
          <w:vertAlign w:val="subscript"/>
        </w:rPr>
        <w:t>0</w:t>
      </w:r>
      <w:r w:rsidRPr="00090B30">
        <w:t>=0,9999. Kinh tuyến trục của từng tỉnh, thành phố trực thuộc trung ương quy định tại Phụ lục V ban hành kèm theo Thông tư này;</w:t>
      </w:r>
    </w:p>
    <w:p w:rsidR="00090B30" w:rsidRPr="00090B30" w:rsidRDefault="00090B30" w:rsidP="00090B30">
      <w:pPr>
        <w:widowControl w:val="0"/>
        <w:autoSpaceDE w:val="0"/>
        <w:autoSpaceDN w:val="0"/>
        <w:adjustRightInd w:val="0"/>
        <w:spacing w:before="120"/>
      </w:pPr>
      <w:r w:rsidRPr="00090B30">
        <w:t>b) Tệp tin bản đồ kiểm kê đất đai ở định dạng *.dgn của phần mềm Microstation, kèm theo tệp tin nguồn ký hiệu và lý lịch bản đồ; tệp tin phải ở dạng mở, cho phép chỉnh sửa, cập nhật thông tin khi cần thiết và có khả năng chuyển đổi khuôn dạng; fonts chữ, số tiếng Việt, bảng mã Unicode; thư viện các ký hiệu độc lập được tạo sẵn trong thư viện “HT” cho các dãy tỷ lệ có tên tương ứng là ht1-5.cell, ht10-25.cell, ht50-100.cell, ht250-1tr.cell,…; thư viện các ký hiệu hình tuyến theo dãy tỷ lệ có tên tương ứng là ht1-5.rsc, ht10-25.rsc, ht50-100.rsc, ht250-1tr.rsc…; bảng màu có tên là ht.tbl;</w:t>
      </w:r>
    </w:p>
    <w:p w:rsidR="00090B30" w:rsidRPr="00090B30" w:rsidRDefault="00090B30" w:rsidP="00090B30">
      <w:pPr>
        <w:widowControl w:val="0"/>
        <w:autoSpaceDE w:val="0"/>
        <w:autoSpaceDN w:val="0"/>
        <w:adjustRightInd w:val="0"/>
        <w:spacing w:before="120"/>
      </w:pPr>
      <w:r w:rsidRPr="00090B30">
        <w:t>c) Thông số của tệp tin chuẩn bản đồ (seed file) gồm: Đơn vị đo (Working Units); đơn vị làm việc chính (Master Units) là mét (m); đơn vị làm việc phụ (Sub Units) là milimét (mm); độ phân giải (Resolution) là 1000; tọa độ điểm trung tâm làm việc (Storage Center Point/Global Origin) là X: 500000 m, Y: 1000000 m.</w:t>
      </w:r>
    </w:p>
    <w:p w:rsidR="00090B30" w:rsidRPr="00090B30" w:rsidRDefault="00090B30" w:rsidP="00090B30">
      <w:pPr>
        <w:widowControl w:val="0"/>
        <w:autoSpaceDE w:val="0"/>
        <w:autoSpaceDN w:val="0"/>
        <w:adjustRightInd w:val="0"/>
        <w:spacing w:before="120"/>
      </w:pPr>
      <w:r w:rsidRPr="00090B30">
        <w:rPr>
          <w:b/>
          <w:bCs/>
        </w:rPr>
        <w:t>V. BIÊN TẬP BẢN ĐỒ KIỂM KÊ ĐẤT ĐAI</w:t>
      </w:r>
    </w:p>
    <w:p w:rsidR="00090B30" w:rsidRPr="00090B30" w:rsidRDefault="00090B30" w:rsidP="00090B30">
      <w:pPr>
        <w:widowControl w:val="0"/>
        <w:autoSpaceDE w:val="0"/>
        <w:autoSpaceDN w:val="0"/>
        <w:adjustRightInd w:val="0"/>
        <w:spacing w:before="120"/>
      </w:pPr>
      <w:r w:rsidRPr="00090B30">
        <w:t>1. Nội dung bản đồ kiểm kê đất đai bao gồm các nhóm lớp đối tượng sau:</w:t>
      </w:r>
    </w:p>
    <w:p w:rsidR="00090B30" w:rsidRPr="00090B30" w:rsidRDefault="00090B30" w:rsidP="00090B30">
      <w:pPr>
        <w:widowControl w:val="0"/>
        <w:autoSpaceDE w:val="0"/>
        <w:autoSpaceDN w:val="0"/>
        <w:adjustRightInd w:val="0"/>
        <w:spacing w:before="120"/>
      </w:pPr>
      <w:r w:rsidRPr="00090B30">
        <w:t>a) Ranh giới và ký hiệu các khoanh đất theo chỉ tiêu kiểm kê;</w:t>
      </w:r>
    </w:p>
    <w:p w:rsidR="00090B30" w:rsidRPr="00090B30" w:rsidRDefault="00090B30" w:rsidP="00090B30">
      <w:pPr>
        <w:widowControl w:val="0"/>
        <w:autoSpaceDE w:val="0"/>
        <w:autoSpaceDN w:val="0"/>
        <w:adjustRightInd w:val="0"/>
        <w:spacing w:before="120"/>
      </w:pPr>
      <w:r w:rsidRPr="00090B30">
        <w:t>b) Biên giới quốc gia và đường địa giới hành chính các cấp;</w:t>
      </w:r>
    </w:p>
    <w:p w:rsidR="00090B30" w:rsidRPr="00090B30" w:rsidRDefault="00090B30" w:rsidP="00090B30">
      <w:pPr>
        <w:widowControl w:val="0"/>
        <w:autoSpaceDE w:val="0"/>
        <w:autoSpaceDN w:val="0"/>
        <w:adjustRightInd w:val="0"/>
        <w:spacing w:before="120"/>
      </w:pPr>
      <w:r w:rsidRPr="00090B30">
        <w:t>c) Thủy hệ và các đối tượng có liên quan gồm: biển, hồ, ao, đầm, phá, thùng đào, sông, ngòi, kênh, rạch, suối và các đối tượng thủy văn khác;</w:t>
      </w:r>
    </w:p>
    <w:p w:rsidR="00090B30" w:rsidRPr="00090B30" w:rsidRDefault="00090B30" w:rsidP="00090B30">
      <w:pPr>
        <w:widowControl w:val="0"/>
        <w:autoSpaceDE w:val="0"/>
        <w:autoSpaceDN w:val="0"/>
        <w:adjustRightInd w:val="0"/>
        <w:spacing w:before="120"/>
      </w:pPr>
      <w:r w:rsidRPr="00090B30">
        <w:t xml:space="preserve">d) Giao thông và các đối tượng có liên quan gồm: các công trình đường sắt, các loại đường bộ các cấp (kể cả đường nội đồng, đường đi lại trong khu dân cư, đường mòn tại các xã miền núi, </w:t>
      </w:r>
      <w:r w:rsidRPr="00090B30">
        <w:lastRenderedPageBreak/>
        <w:t>trung du) và các công trình giao thông trên hệ thống đường đó;</w:t>
      </w:r>
    </w:p>
    <w:p w:rsidR="00090B30" w:rsidRPr="00090B30" w:rsidRDefault="00090B30" w:rsidP="00090B30">
      <w:pPr>
        <w:widowControl w:val="0"/>
        <w:autoSpaceDE w:val="0"/>
        <w:autoSpaceDN w:val="0"/>
        <w:adjustRightInd w:val="0"/>
        <w:spacing w:before="120"/>
      </w:pPr>
      <w:r w:rsidRPr="00090B30">
        <w:t>đ) Các yếu tố kinh tế, xã hội thể hiện tên các địa danh, trụ sở cơ quan chính quyền các cấp; tên công trình hạ tầng và các đối tượng khác;</w:t>
      </w:r>
    </w:p>
    <w:p w:rsidR="00090B30" w:rsidRPr="00090B30" w:rsidRDefault="00090B30" w:rsidP="00090B30">
      <w:pPr>
        <w:widowControl w:val="0"/>
        <w:autoSpaceDE w:val="0"/>
        <w:autoSpaceDN w:val="0"/>
        <w:adjustRightInd w:val="0"/>
        <w:spacing w:before="120"/>
      </w:pPr>
      <w:r w:rsidRPr="00090B30">
        <w:t>e) Yếu tố địa hình (điểm độ cao, ghi chú độ cao) và các nội dung khác của bản đồ đã sử dụng để điều tra kiểm kê (nếu có, trừ ranh giới thửa đất);</w:t>
      </w:r>
    </w:p>
    <w:p w:rsidR="00090B30" w:rsidRPr="00090B30" w:rsidRDefault="00090B30" w:rsidP="00090B30">
      <w:pPr>
        <w:widowControl w:val="0"/>
        <w:autoSpaceDE w:val="0"/>
        <w:autoSpaceDN w:val="0"/>
        <w:adjustRightInd w:val="0"/>
        <w:spacing w:before="120"/>
      </w:pPr>
      <w:r w:rsidRPr="00090B30">
        <w:t>g) Các đối tượng dạng đường (là một trong các dạng Line String, Chain, Complex Chain hoặc Polyline,… theo phần mềm biên tập) phải thể hiện liên tục, không đứt đoạn và chỉ được dừng tại các điểm nút giao nhau giữa các đường thể hiện các đối tượng cùng kiểu;</w:t>
      </w:r>
    </w:p>
    <w:p w:rsidR="00090B30" w:rsidRPr="00090B30" w:rsidRDefault="00090B30" w:rsidP="00090B30">
      <w:pPr>
        <w:widowControl w:val="0"/>
        <w:autoSpaceDE w:val="0"/>
        <w:autoSpaceDN w:val="0"/>
        <w:adjustRightInd w:val="0"/>
        <w:spacing w:before="120"/>
      </w:pPr>
      <w:r w:rsidRPr="00090B30">
        <w:t>h) Những đối tượng dạng vùng (là một trong các dạng pattern, shape, complex shape hoặc fill color,... theo phần mềm biên tập) phải thể hiện là các vùng khép kín;</w:t>
      </w:r>
    </w:p>
    <w:p w:rsidR="00090B30" w:rsidRPr="00090B30" w:rsidRDefault="00090B30" w:rsidP="00090B30">
      <w:pPr>
        <w:widowControl w:val="0"/>
        <w:autoSpaceDE w:val="0"/>
        <w:autoSpaceDN w:val="0"/>
        <w:adjustRightInd w:val="0"/>
        <w:spacing w:before="120"/>
      </w:pPr>
      <w:r w:rsidRPr="00090B30">
        <w:t>i) Các ký hiệu dạng điểm (là dạng cell theo phần mềm biên tập) phải thể hiện bằng các ký hiệu dạng điểm được thiết kế sẵn trong các tệp *.cell;</w:t>
      </w:r>
    </w:p>
    <w:p w:rsidR="00090B30" w:rsidRPr="00090B30" w:rsidRDefault="00090B30" w:rsidP="00090B30">
      <w:pPr>
        <w:widowControl w:val="0"/>
        <w:autoSpaceDE w:val="0"/>
        <w:autoSpaceDN w:val="0"/>
        <w:adjustRightInd w:val="0"/>
        <w:spacing w:before="120"/>
      </w:pPr>
      <w:r w:rsidRPr="00090B30">
        <w:t>k) Các đối tượng trên bản đồ kiểm kê đất đai dạng số phải thể hiện đúng lớp và các thông số kèm theo như quy định tại bảng phân lớp đối tượng. Đối với các đối tượng tham gia đóng vùng khoanh đất vẽ nửa theo tỷ lệ (như đường giao thông, địa giới…) thì sao lưu nguyên trạng phần tham gia đóng vùng và chuyển về lớp riêng để tham gia đóng vùng;</w:t>
      </w:r>
    </w:p>
    <w:p w:rsidR="00090B30" w:rsidRPr="00090B30" w:rsidRDefault="00090B30" w:rsidP="00090B30">
      <w:pPr>
        <w:widowControl w:val="0"/>
        <w:autoSpaceDE w:val="0"/>
        <w:autoSpaceDN w:val="0"/>
        <w:adjustRightInd w:val="0"/>
        <w:spacing w:before="120"/>
      </w:pPr>
      <w:r w:rsidRPr="00090B30">
        <w:t>l) Các ghi chú, thuyết minh;</w:t>
      </w:r>
    </w:p>
    <w:p w:rsidR="00090B30" w:rsidRPr="00090B30" w:rsidRDefault="00090B30" w:rsidP="00090B30">
      <w:pPr>
        <w:widowControl w:val="0"/>
        <w:autoSpaceDE w:val="0"/>
        <w:autoSpaceDN w:val="0"/>
        <w:adjustRightInd w:val="0"/>
        <w:spacing w:before="120"/>
      </w:pPr>
      <w:r w:rsidRPr="00090B30">
        <w:t>m) Khung bản đồ, lưới tọa độ vuông góc.</w:t>
      </w:r>
    </w:p>
    <w:p w:rsidR="00090B30" w:rsidRPr="00090B30" w:rsidRDefault="00090B30" w:rsidP="00090B30">
      <w:pPr>
        <w:widowControl w:val="0"/>
        <w:autoSpaceDE w:val="0"/>
        <w:autoSpaceDN w:val="0"/>
        <w:adjustRightInd w:val="0"/>
        <w:spacing w:before="120"/>
      </w:pPr>
      <w:r w:rsidRPr="00090B30">
        <w:t>2. Khoanh đất thể hiện trên bản đồ kiểm kê đất đai phải bảo đảm các yêu cầu sau:</w:t>
      </w:r>
    </w:p>
    <w:p w:rsidR="00090B30" w:rsidRPr="00090B30" w:rsidRDefault="00090B30" w:rsidP="00090B30">
      <w:pPr>
        <w:widowControl w:val="0"/>
        <w:autoSpaceDE w:val="0"/>
        <w:autoSpaceDN w:val="0"/>
        <w:adjustRightInd w:val="0"/>
        <w:spacing w:before="120"/>
      </w:pPr>
      <w:r w:rsidRPr="00090B30">
        <w:t>a) Ranh giới khoanh đất phải khép kín và được chuyển vẽ từ bản đồ sử dụng trong điều tra kiểm kê với độ chính xác cao nhất, không được tổng hợp, không khái quát hóa;</w:t>
      </w:r>
    </w:p>
    <w:p w:rsidR="00090B30" w:rsidRPr="00090B30" w:rsidRDefault="00090B30" w:rsidP="00090B30">
      <w:pPr>
        <w:widowControl w:val="0"/>
        <w:autoSpaceDE w:val="0"/>
        <w:autoSpaceDN w:val="0"/>
        <w:adjustRightInd w:val="0"/>
        <w:spacing w:before="120"/>
      </w:pPr>
      <w:r w:rsidRPr="00090B30">
        <w:t>b) Bổ sung làm rõ về mã loại đất trên bản đồ kiểm kê;</w:t>
      </w:r>
    </w:p>
    <w:p w:rsidR="00090B30" w:rsidRPr="00090B30" w:rsidRDefault="00090B30" w:rsidP="00090B30">
      <w:pPr>
        <w:widowControl w:val="0"/>
        <w:autoSpaceDE w:val="0"/>
        <w:autoSpaceDN w:val="0"/>
        <w:adjustRightInd w:val="0"/>
        <w:spacing w:before="120"/>
      </w:pPr>
      <w:r w:rsidRPr="00090B30">
        <w:t>c) Phải thể hiện nhãn khoanh đất gồm số thứ tự khoanh đất; diện tích khoanh đất; mã loại đất; mã loại đối tượng sử dụng đất hoặc đối tượng được giao quản lý đất theo hình thức như sau:</w:t>
      </w:r>
    </w:p>
    <w:p w:rsidR="00090B30" w:rsidRPr="00090B30" w:rsidRDefault="00090B30" w:rsidP="00090B30">
      <w:pPr>
        <w:widowControl w:val="0"/>
        <w:autoSpaceDE w:val="0"/>
        <w:autoSpaceDN w:val="0"/>
        <w:adjustRightInd w:val="0"/>
        <w:spacing w:before="120"/>
        <w:jc w:val="center"/>
      </w:pPr>
      <w:r w:rsidRPr="00090B30">
        <w:rPr>
          <w:noProof/>
        </w:rPr>
        <w:drawing>
          <wp:inline distT="0" distB="0" distL="0" distR="0">
            <wp:extent cx="26765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76525" cy="457200"/>
                    </a:xfrm>
                    <a:prstGeom prst="rect">
                      <a:avLst/>
                    </a:prstGeom>
                    <a:noFill/>
                    <a:ln w="9525">
                      <a:noFill/>
                      <a:miter lim="800000"/>
                      <a:headEnd/>
                      <a:tailEnd/>
                    </a:ln>
                  </pic:spPr>
                </pic:pic>
              </a:graphicData>
            </a:graphic>
          </wp:inline>
        </w:drawing>
      </w:r>
    </w:p>
    <w:p w:rsidR="00090B30" w:rsidRPr="00090B30" w:rsidRDefault="00090B30" w:rsidP="00090B30">
      <w:pPr>
        <w:widowControl w:val="0"/>
        <w:autoSpaceDE w:val="0"/>
        <w:autoSpaceDN w:val="0"/>
        <w:adjustRightInd w:val="0"/>
        <w:spacing w:before="120"/>
      </w:pPr>
      <w:r w:rsidRPr="00090B30">
        <w:t>d) Nhãn khoanh đất được tạo dưới dạng cell hoặc text. Mã ký hiệu loại đất, loại đối tượng sử dụng, đối tượng quản lý đất theo quy định tại Phụ lục V ban hành kèm theo Thông tư này;</w:t>
      </w:r>
    </w:p>
    <w:p w:rsidR="00090B30" w:rsidRPr="00090B30" w:rsidRDefault="00090B30" w:rsidP="00090B30">
      <w:pPr>
        <w:widowControl w:val="0"/>
        <w:autoSpaceDE w:val="0"/>
        <w:autoSpaceDN w:val="0"/>
        <w:adjustRightInd w:val="0"/>
        <w:spacing w:before="120"/>
      </w:pPr>
      <w:r w:rsidRPr="00090B30">
        <w:t>đ) Số thứ tự khoanh đất được thể hiện bằng số Ả Rập, từ 01 đến hết trong phạm vi toàn xã, thứ tự đánh số từ trái sang phải, từ trên xuống dưới, theo đường zích zắc (ziczac). Đối với các yếu tố chiếm đất không tạo thành khoanh đất được khép vùng theo đường địa giới hành chính và được đánh số thứ tự như khoanh đất;</w:t>
      </w:r>
    </w:p>
    <w:p w:rsidR="00090B30" w:rsidRPr="00090B30" w:rsidRDefault="00090B30" w:rsidP="00090B30">
      <w:pPr>
        <w:widowControl w:val="0"/>
        <w:autoSpaceDE w:val="0"/>
        <w:autoSpaceDN w:val="0"/>
        <w:adjustRightInd w:val="0"/>
        <w:spacing w:before="120"/>
      </w:pPr>
      <w:r w:rsidRPr="00090B30">
        <w:t>e) Đối tượng thủy hệ, giao thông và các đối tượng khác liên quan thể hiện ranh giới chiếm đất của từng loại đối tượng và nhãn đối tượng như quy định tại điểm c khoản 2 mục này.</w:t>
      </w:r>
    </w:p>
    <w:p w:rsidR="00090B30" w:rsidRPr="00090B30" w:rsidRDefault="00090B30" w:rsidP="00090B30">
      <w:pPr>
        <w:widowControl w:val="0"/>
        <w:autoSpaceDE w:val="0"/>
        <w:autoSpaceDN w:val="0"/>
        <w:adjustRightInd w:val="0"/>
        <w:spacing w:before="120"/>
      </w:pPr>
      <w:r w:rsidRPr="00090B30">
        <w:rPr>
          <w:b/>
          <w:bCs/>
        </w:rPr>
        <w:t>VI. TÍNH DIỆN TÍCH CÁC KHOANH ĐẤT, ĐỐI TƯỢNG CHIẾM ĐẤT KHÔNG TẠO THÀNH THỬA ĐẤT</w:t>
      </w:r>
    </w:p>
    <w:p w:rsidR="00090B30" w:rsidRPr="00090B30" w:rsidRDefault="00090B30" w:rsidP="00090B30">
      <w:pPr>
        <w:widowControl w:val="0"/>
        <w:autoSpaceDE w:val="0"/>
        <w:autoSpaceDN w:val="0"/>
        <w:adjustRightInd w:val="0"/>
        <w:spacing w:before="120"/>
      </w:pPr>
      <w:r w:rsidRPr="00090B30">
        <w:t xml:space="preserve">1. Các đối tượng cần tính diện tích gồm các khoanh đất, đối tượng chiếm đất không tạo thành thửa đất phải được khép vùng, xác định quan hệ không gian (topology) trên bản đồ kiểm kê đất </w:t>
      </w:r>
      <w:r w:rsidRPr="00090B30">
        <w:lastRenderedPageBreak/>
        <w:t>đai.</w:t>
      </w:r>
    </w:p>
    <w:p w:rsidR="00090B30" w:rsidRPr="00090B30" w:rsidRDefault="00090B30" w:rsidP="00090B30">
      <w:pPr>
        <w:widowControl w:val="0"/>
        <w:autoSpaceDE w:val="0"/>
        <w:autoSpaceDN w:val="0"/>
        <w:adjustRightInd w:val="0"/>
        <w:spacing w:before="120"/>
      </w:pPr>
      <w:r w:rsidRPr="00090B30">
        <w:t>Trường hợp các đối tượng dạng vùng cùng kiểu (cùng kiểu đối tượng giao thông hoặc cùng kiểu đối tượng thủy văn…), giao cắt cùng mức thì đối tượng được tính theo đường ranh giới chiếm đất ngoài cùng. Trường hợp các đối tượng dạng vùng không cùng kiểu (không cùng kiểu đối tượng giao thông hoặc không cùng kiểu đối tượng thủy văn) hoặc cùng kiểu nhưng giao cắt không cùng mức thì diện tích phần giao nhau của hình chiếu thẳng đứng của các đối tượng đó trên mặt đất được tính cho đối tượng nằm trực tiếp trên mặt đất.</w:t>
      </w:r>
    </w:p>
    <w:p w:rsidR="00090B30" w:rsidRPr="00090B30" w:rsidRDefault="00090B30" w:rsidP="00090B30">
      <w:pPr>
        <w:widowControl w:val="0"/>
        <w:autoSpaceDE w:val="0"/>
        <w:autoSpaceDN w:val="0"/>
        <w:adjustRightInd w:val="0"/>
        <w:spacing w:before="120"/>
      </w:pPr>
      <w:r w:rsidRPr="00090B30">
        <w:t>2. Diện tích các khoanh đất được tính bằng phương pháp giải tích trên bản đồ dạng số và được tổng hợp để kiểm tra đối chiếu với tổng diện tích của đơn vị hành chính cấp xã tính bằng phương pháp giải tích theo đường địa giới hành chính; trường hợp có sự chênh lệch diện tích giữa số liệu tổng hợp từ các khoanh đất với số liệu tính theo đường địa giới hành chính thì phải kiểm tra, để xử lý các trường hợp bị tính trùng hoặc bỏ sót.</w:t>
      </w:r>
    </w:p>
    <w:p w:rsidR="00090B30" w:rsidRPr="00090B30" w:rsidRDefault="00090B30" w:rsidP="00090B30">
      <w:pPr>
        <w:widowControl w:val="0"/>
        <w:autoSpaceDE w:val="0"/>
        <w:autoSpaceDN w:val="0"/>
        <w:adjustRightInd w:val="0"/>
        <w:spacing w:before="120"/>
      </w:pPr>
      <w:r w:rsidRPr="00090B30">
        <w:t>Kết quả tính diện tích các khoanh đất được tổng hợp vào bảng liệt kê danh sách các khoanh đất thể hiện các thông tin: mã số khoanh đất, diện tích khoanh đất, thuộc tính khoanh đất tương ứng với các chỉ tiêu kiểm kê đất đai theo quy định.</w:t>
      </w:r>
    </w:p>
    <w:p w:rsidR="00090B30" w:rsidRPr="00090B30" w:rsidRDefault="00090B30" w:rsidP="00090B30">
      <w:pPr>
        <w:widowControl w:val="0"/>
        <w:autoSpaceDE w:val="0"/>
        <w:autoSpaceDN w:val="0"/>
        <w:adjustRightInd w:val="0"/>
        <w:spacing w:before="120"/>
      </w:pPr>
      <w:r w:rsidRPr="00090B30">
        <w:t>3. Diện tích các khoanh đất tính trên bản đồ kiểm kê đất đai cấp xã theo đơn vị mét vuông (m2); số liệu diện tích trên các biểu thống kê, kiểm kê đất đai thể hiện theo đơn vị hécta (ha); được làm tròn số đến hai chữ số thập phân sau dấu phẩy (0,01 ha) đối với cấp xã, làm tròn số đến một chữ số thập phân sau dấu phẩy (0,1 ha) đối với cấp huyện và làm tròn số đến 01 ha đối với cấp tỉnh và cả nước.</w:t>
      </w:r>
    </w:p>
    <w:p w:rsidR="00090B30" w:rsidRPr="00090B30" w:rsidRDefault="00090B30" w:rsidP="00090B30">
      <w:pPr>
        <w:widowControl w:val="0"/>
        <w:autoSpaceDE w:val="0"/>
        <w:autoSpaceDN w:val="0"/>
        <w:adjustRightInd w:val="0"/>
        <w:spacing w:before="120"/>
      </w:pPr>
      <w:r w:rsidRPr="00090B30">
        <w:rPr>
          <w:b/>
          <w:bCs/>
        </w:rPr>
        <w:t>VII. PHƯƠNG PHÁP TỔNG HỢP SỐ LIỆU KIỂM KÊ ĐẤT ĐAI</w:t>
      </w:r>
    </w:p>
    <w:p w:rsidR="00090B30" w:rsidRPr="00090B30" w:rsidRDefault="00090B30" w:rsidP="00090B30">
      <w:pPr>
        <w:widowControl w:val="0"/>
        <w:autoSpaceDE w:val="0"/>
        <w:autoSpaceDN w:val="0"/>
        <w:adjustRightInd w:val="0"/>
        <w:spacing w:before="120"/>
      </w:pPr>
      <w:r w:rsidRPr="00090B30">
        <w:t>1. Số liệu kiểm kê đất đai cấp xã được tổng hợp từ danh sách các khoanh đất trong kỳ thống kê, kiểm kê đất đai bằng phần mềm thống kê, kiểm kê đất đai của Bộ Tài nguyên và Môi trường.</w:t>
      </w:r>
    </w:p>
    <w:p w:rsidR="00090B30" w:rsidRPr="00090B30" w:rsidRDefault="00090B30" w:rsidP="00090B30">
      <w:pPr>
        <w:widowControl w:val="0"/>
        <w:autoSpaceDE w:val="0"/>
        <w:autoSpaceDN w:val="0"/>
        <w:adjustRightInd w:val="0"/>
        <w:spacing w:before="120"/>
      </w:pPr>
      <w:r w:rsidRPr="00090B30">
        <w:t>Đối với các chỉ tiêu kiểm kê đất đai hoặc chỉ tiêu kiểm kê chuyên sâu khác thực hiện gắn với kiểm kê đất đai mà không tổng hợp được bằng phần mềm thống kê, kiểm kê đất đai của Bộ Tài nguyên và Môi trường thì sử dụng công cụ tính toán truyền thống để tổng hợp và được quy định cụ thể trong từng kỳ kiểm kê đất đai.</w:t>
      </w:r>
    </w:p>
    <w:p w:rsidR="00090B30" w:rsidRPr="00090B30" w:rsidRDefault="00090B30" w:rsidP="00090B30">
      <w:pPr>
        <w:widowControl w:val="0"/>
        <w:autoSpaceDE w:val="0"/>
        <w:autoSpaceDN w:val="0"/>
        <w:adjustRightInd w:val="0"/>
        <w:spacing w:before="120"/>
      </w:pPr>
      <w:r w:rsidRPr="00090B30">
        <w:t>2. Số liệu kiểm kê đất đai cấp huyện, cấp tỉnh và cả nước được tổng hợp từ số liệu kiểm kê đất đai của của đơn vị hành chính trực thuộc bằng phần mềm thống kê, kiểm kê đất đai của Bộ Tài nguyên và Môi trường.</w:t>
      </w:r>
    </w:p>
    <w:p w:rsidR="004B19CF" w:rsidRPr="00090B30" w:rsidRDefault="004B19CF"/>
    <w:sectPr w:rsidR="004B19CF" w:rsidRPr="00090B30"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0B30"/>
    <w:rsid w:val="00090B30"/>
    <w:rsid w:val="004B19CF"/>
    <w:rsid w:val="00D91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90B30"/>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090B30"/>
    <w:rPr>
      <w:rFonts w:ascii="Tahoma" w:hAnsi="Tahoma" w:cs="Tahoma"/>
      <w:sz w:val="16"/>
      <w:szCs w:val="16"/>
    </w:rPr>
  </w:style>
  <w:style w:type="character" w:customStyle="1" w:styleId="BalloonTextChar">
    <w:name w:val="Balloon Text Char"/>
    <w:basedOn w:val="DefaultParagraphFont"/>
    <w:link w:val="BalloonText"/>
    <w:uiPriority w:val="99"/>
    <w:semiHidden/>
    <w:rsid w:val="00090B3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2125</Words>
  <Characters>12118</Characters>
  <Application>Microsoft Office Word</Application>
  <DocSecurity>0</DocSecurity>
  <Lines>100</Lines>
  <Paragraphs>28</Paragraphs>
  <ScaleCrop>false</ScaleCrop>
  <Company>Grizli777</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2024-09-25T04:21:00Z</dcterms:created>
  <dcterms:modified xsi:type="dcterms:W3CDTF">2024-09-25T04:22:00Z</dcterms:modified>
</cp:coreProperties>
</file>