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sz w:val="26"/>
          <w:szCs w:val="26"/>
        </w:rPr>
      </w:pPr>
      <w:bookmarkStart w:id="0" w:name="chuong_pl"/>
      <w:r>
        <w:rPr>
          <w:rFonts w:ascii="Times New Roman" w:hAnsi="Times New Roman"/>
          <w:b/>
          <w:bCs/>
          <w:sz w:val="26"/>
          <w:szCs w:val="26"/>
        </w:rPr>
        <w:t>PHỤ LỤC</w:t>
      </w:r>
      <w:bookmarkEnd w:id="0"/>
    </w:p>
    <w:p>
      <w:pPr>
        <w:pStyle w:val="Normal"/>
        <w:bidi w:val="0"/>
        <w:spacing w:before="120" w:after="280"/>
        <w:jc w:val="center"/>
        <w:rPr>
          <w:rFonts w:ascii="Times New Roman" w:hAnsi="Times New Roman"/>
          <w:sz w:val="26"/>
          <w:szCs w:val="26"/>
        </w:rPr>
      </w:pPr>
      <w:bookmarkStart w:id="1" w:name="chuong_pl_name"/>
      <w:r>
        <w:rPr>
          <w:rFonts w:ascii="Times New Roman" w:hAnsi="Times New Roman"/>
          <w:sz w:val="26"/>
          <w:szCs w:val="26"/>
        </w:rPr>
        <w:t>NỘI DUNG CỦA HÓA ĐƠN</w:t>
      </w:r>
      <w:bookmarkEnd w:id="1"/>
      <w:r>
        <w:rPr>
          <w:rFonts w:ascii="Times New Roman" w:hAnsi="Times New Roman"/>
          <w:sz w:val="26"/>
          <w:szCs w:val="26"/>
        </w:rPr>
        <w:br/>
      </w:r>
      <w:r>
        <w:rPr>
          <w:rFonts w:ascii="Times New Roman" w:hAnsi="Times New Roman"/>
          <w:i/>
          <w:iCs/>
          <w:sz w:val="26"/>
          <w:szCs w:val="26"/>
        </w:rPr>
        <w:t>(Kèm theo Nghị định số 254/2026/NĐ-CP ngày 30 tháng 6 năm 2026 của Chính phủ)</w:t>
      </w:r>
    </w:p>
    <w:p>
      <w:pPr>
        <w:pStyle w:val="Normal"/>
        <w:bidi w:val="0"/>
        <w:spacing w:before="120" w:after="280"/>
        <w:jc w:val="both"/>
        <w:rPr>
          <w:rFonts w:ascii="Times New Roman" w:hAnsi="Times New Roman"/>
          <w:sz w:val="26"/>
          <w:szCs w:val="26"/>
        </w:rPr>
      </w:pPr>
      <w:r>
        <w:rPr>
          <w:rFonts w:ascii="Times New Roman" w:hAnsi="Times New Roman"/>
          <w:sz w:val="26"/>
          <w:szCs w:val="26"/>
        </w:rPr>
        <w:t>1. Tên hóa đơn, ký hiệu hóa đơn, ký hiệu mẫu số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 xml:space="preserve">a) Tên hóa đơn là tên của từng loại hóa đơn quy định tại </w:t>
      </w:r>
      <w:bookmarkStart w:id="2" w:name="tc_21"/>
      <w:r>
        <w:rPr>
          <w:rFonts w:ascii="Times New Roman" w:hAnsi="Times New Roman"/>
          <w:sz w:val="26"/>
          <w:szCs w:val="26"/>
        </w:rPr>
        <w:t>Điều 8 Nghị định này</w:t>
      </w:r>
      <w:bookmarkEnd w:id="2"/>
      <w:r>
        <w:rPr>
          <w:rFonts w:ascii="Times New Roman" w:hAnsi="Times New Roman"/>
          <w:sz w:val="26"/>
          <w:szCs w:val="26"/>
        </w:rPr>
        <w:t xml:space="preserve">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pPr>
        <w:pStyle w:val="Normal"/>
        <w:bidi w:val="0"/>
        <w:spacing w:before="120" w:after="280"/>
        <w:jc w:val="both"/>
        <w:rPr>
          <w:rFonts w:ascii="Times New Roman" w:hAnsi="Times New Roman"/>
          <w:sz w:val="26"/>
          <w:szCs w:val="26"/>
        </w:rPr>
      </w:pPr>
      <w:r>
        <w:rPr>
          <w:rFonts w:ascii="Times New Roman" w:hAnsi="Times New Roman"/>
          <w:sz w:val="26"/>
          <w:szCs w:val="26"/>
        </w:rPr>
        <w:t>b) Ký hiệu mẫu số hóa đơn, ký hiệu hóa đơn thực hiện theo quy định của Bộ trưởng Bộ Tài chính.</w:t>
      </w:r>
    </w:p>
    <w:p>
      <w:pPr>
        <w:pStyle w:val="Normal"/>
        <w:bidi w:val="0"/>
        <w:spacing w:before="120" w:after="280"/>
        <w:jc w:val="both"/>
        <w:rPr>
          <w:rFonts w:ascii="Times New Roman" w:hAnsi="Times New Roman"/>
          <w:sz w:val="26"/>
          <w:szCs w:val="26"/>
        </w:rPr>
      </w:pPr>
      <w:r>
        <w:rPr>
          <w:rFonts w:ascii="Times New Roman" w:hAnsi="Times New Roman"/>
          <w:sz w:val="26"/>
          <w:szCs w:val="26"/>
        </w:rPr>
        <w:t>2. Số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a)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b)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pStyle w:val="Normal"/>
        <w:bidi w:val="0"/>
        <w:spacing w:before="120" w:after="280"/>
        <w:jc w:val="both"/>
        <w:rPr>
          <w:rFonts w:ascii="Times New Roman" w:hAnsi="Times New Roman"/>
          <w:sz w:val="26"/>
          <w:szCs w:val="26"/>
        </w:rPr>
      </w:pPr>
      <w:r>
        <w:rPr>
          <w:rFonts w:ascii="Times New Roman" w:hAnsi="Times New Roman"/>
          <w:sz w:val="26"/>
          <w:szCs w:val="26"/>
        </w:rPr>
        <w:t>3. Tên, địa chỉ, mã số thuế của người bán</w:t>
      </w:r>
    </w:p>
    <w:p>
      <w:pPr>
        <w:pStyle w:val="Normal"/>
        <w:bidi w:val="0"/>
        <w:spacing w:before="120" w:after="280"/>
        <w:jc w:val="both"/>
        <w:rPr>
          <w:rFonts w:ascii="Times New Roman" w:hAnsi="Times New Roman"/>
          <w:sz w:val="26"/>
          <w:szCs w:val="26"/>
        </w:rPr>
      </w:pPr>
      <w:r>
        <w:rPr>
          <w:rFonts w:ascii="Times New Roman" w:hAnsi="Times New Roman"/>
          <w:sz w:val="26"/>
          <w:szCs w:val="26"/>
        </w:rP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hóa đơn điện tử ủy nhiệm thì thể hiện, tên, địa chỉ, mã số thuế của bên ủy nhiệm và tên, địa chỉ, mã số thuế của bên nhận ủy nhiệm.</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bán đấu giá tài sản để thi hành án thì hóa đơn phải thể hiện tên, địa chỉ, mã số thuế của cơ quan được giao bán đấu giá tài sản và tên, địa chỉ, mã số thuế của người bán.</w:t>
      </w:r>
    </w:p>
    <w:p>
      <w:pPr>
        <w:pStyle w:val="Normal"/>
        <w:bidi w:val="0"/>
        <w:spacing w:before="120" w:after="280"/>
        <w:jc w:val="both"/>
        <w:rPr>
          <w:rFonts w:ascii="Times New Roman" w:hAnsi="Times New Roman"/>
          <w:sz w:val="26"/>
          <w:szCs w:val="26"/>
        </w:rPr>
      </w:pPr>
      <w:r>
        <w:rPr>
          <w:rFonts w:ascii="Times New Roman" w:hAnsi="Times New Roman"/>
          <w:sz w:val="26"/>
          <w:szCs w:val="26"/>
        </w:rPr>
        <w:t>4. Tên, địa chỉ, mã số thuế hoặc mã số đơn vị có quan hệ với ngân sách hoặc số định danh cá nhân của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a) Trường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pPr>
        <w:pStyle w:val="Normal"/>
        <w:bidi w:val="0"/>
        <w:spacing w:before="120" w:after="280"/>
        <w:jc w:val="both"/>
        <w:rPr>
          <w:rFonts w:ascii="Times New Roman" w:hAnsi="Times New Roman"/>
          <w:sz w:val="26"/>
          <w:szCs w:val="26"/>
        </w:rPr>
      </w:pPr>
      <w:r>
        <w:rPr>
          <w:rFonts w:ascii="Times New Roman" w:hAnsi="Times New Roman"/>
          <w:sz w:val="26"/>
          <w:szCs w:val="26"/>
        </w:rPr>
        <w:t xml:space="preserve">b) Trường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w:t>
      </w:r>
      <w:bookmarkStart w:id="3" w:name="tc_26"/>
      <w:r>
        <w:rPr>
          <w:rFonts w:ascii="Times New Roman" w:hAnsi="Times New Roman"/>
          <w:sz w:val="26"/>
          <w:szCs w:val="26"/>
        </w:rPr>
        <w:t>điểm 9 Phụ lục này</w:t>
      </w:r>
      <w:bookmarkEnd w:id="3"/>
      <w:r>
        <w:rPr>
          <w:rFonts w:ascii="Times New Roman" w:hAnsi="Times New Roman"/>
          <w:sz w:val="26"/>
          <w:szCs w:val="26"/>
        </w:rPr>
        <w:t xml:space="preserve"> thì trên hóa đơn không phải thể hiện tên, địa chỉ, số định danh cá nhân của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Hóa đơn không có thông tin người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pPr>
        <w:pStyle w:val="Normal"/>
        <w:bidi w:val="0"/>
        <w:spacing w:before="120" w:after="280"/>
        <w:jc w:val="both"/>
        <w:rPr>
          <w:rFonts w:ascii="Times New Roman" w:hAnsi="Times New Roman"/>
          <w:sz w:val="26"/>
          <w:szCs w:val="26"/>
        </w:rPr>
      </w:pPr>
      <w:r>
        <w:rPr>
          <w:rFonts w:ascii="Times New Roman" w:hAnsi="Times New Roman"/>
          <w:sz w:val="26"/>
          <w:szCs w:val="26"/>
        </w:rPr>
        <w:t>5.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pStyle w:val="Normal"/>
        <w:bidi w:val="0"/>
        <w:spacing w:before="120" w:after="280"/>
        <w:jc w:val="both"/>
        <w:rPr>
          <w:rFonts w:ascii="Times New Roman" w:hAnsi="Times New Roman"/>
          <w:sz w:val="26"/>
          <w:szCs w:val="26"/>
        </w:rPr>
      </w:pPr>
      <w:r>
        <w:rPr>
          <w:rFonts w:ascii="Times New Roman" w:hAnsi="Times New Roman"/>
          <w:sz w:val="26"/>
          <w:szCs w:val="26"/>
        </w:rPr>
        <w:t>a) Tên, đơn vị tính, số lượng, đơn giá hàng hóa, dịch vụ</w:t>
      </w:r>
    </w:p>
    <w:p>
      <w:pPr>
        <w:pStyle w:val="Normal"/>
        <w:bidi w:val="0"/>
        <w:spacing w:before="120" w:after="280"/>
        <w:jc w:val="both"/>
        <w:rPr>
          <w:rFonts w:ascii="Times New Roman" w:hAnsi="Times New Roman"/>
          <w:sz w:val="26"/>
          <w:szCs w:val="26"/>
        </w:rPr>
      </w:pPr>
      <w:r>
        <w:rPr>
          <w:rFonts w:ascii="Times New Roman" w:hAnsi="Times New Roman"/>
          <w:sz w:val="26"/>
          <w:szCs w:val="26"/>
        </w:rPr>
        <w:t>a.1) Tên hàng hóa, dịch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phần;...)).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pháp luật có quy định về định danh hàng hóa, dịch vụ thì người bán thể hiện tên hàng hóa, dịch vụ trên hóa đơn theo quy định pháp luật về định danh hàng hóa, dịch vụ.</w:t>
      </w:r>
    </w:p>
    <w:p>
      <w:pPr>
        <w:pStyle w:val="Normal"/>
        <w:bidi w:val="0"/>
        <w:spacing w:before="120" w:after="280"/>
        <w:jc w:val="both"/>
        <w:rPr>
          <w:rFonts w:ascii="Times New Roman" w:hAnsi="Times New Roman"/>
          <w:sz w:val="26"/>
          <w:szCs w:val="26"/>
        </w:rPr>
      </w:pPr>
      <w:r>
        <w:rPr>
          <w:rFonts w:ascii="Times New Roman" w:hAnsi="Times New Roman"/>
          <w:sz w:val="26"/>
          <w:szCs w:val="26"/>
        </w:rPr>
        <w:t>a.1.1) Trường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pPr>
        <w:pStyle w:val="Normal"/>
        <w:bidi w:val="0"/>
        <w:spacing w:before="120" w:after="280"/>
        <w:jc w:val="both"/>
        <w:rPr>
          <w:rFonts w:ascii="Times New Roman" w:hAnsi="Times New Roman"/>
          <w:sz w:val="26"/>
          <w:szCs w:val="26"/>
        </w:rPr>
      </w:pPr>
      <w:r>
        <w:rPr>
          <w:rFonts w:ascii="Times New Roman" w:hAnsi="Times New Roman"/>
          <w:sz w:val="26"/>
          <w:szCs w:val="26"/>
        </w:rPr>
        <w:t>a.1.2) Trường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pStyle w:val="Normal"/>
        <w:bidi w:val="0"/>
        <w:spacing w:before="120" w:after="280"/>
        <w:jc w:val="both"/>
        <w:rPr>
          <w:rFonts w:ascii="Times New Roman" w:hAnsi="Times New Roman"/>
          <w:sz w:val="26"/>
          <w:szCs w:val="26"/>
        </w:rPr>
      </w:pPr>
      <w:r>
        <w:rPr>
          <w:rFonts w:ascii="Times New Roman" w:hAnsi="Times New Roman"/>
          <w:sz w:val="26"/>
          <w:szCs w:val="26"/>
        </w:rPr>
        <w:t>a.2) Đơn vị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w:t>
      </w:r>
      <w:r>
        <w:rPr>
          <w:rFonts w:ascii="Times New Roman" w:hAnsi="Times New Roman"/>
          <w:sz w:val="26"/>
          <w:szCs w:val="26"/>
          <w:vertAlign w:val="superscript"/>
        </w:rPr>
        <w:t>3</w:t>
      </w:r>
      <w:r>
        <w:rPr>
          <w:rFonts w:ascii="Times New Roman" w:hAnsi="Times New Roman"/>
          <w:sz w:val="26"/>
          <w:szCs w:val="26"/>
        </w:rPr>
        <w:t>, m</w:t>
      </w:r>
      <w:r>
        <w:rPr>
          <w:rFonts w:ascii="Times New Roman" w:hAnsi="Times New Roman"/>
          <w:sz w:val="26"/>
          <w:szCs w:val="26"/>
          <w:vertAlign w:val="superscript"/>
        </w:rPr>
        <w:t>2</w:t>
      </w:r>
      <w:r>
        <w:rPr>
          <w:rFonts w:ascii="Times New Roman" w:hAnsi="Times New Roman"/>
          <w:sz w:val="26"/>
          <w:szCs w:val="26"/>
        </w:rPr>
        <w:t>, m). Đối với dịch vụ thì trên hóa đơn không nhất thiết phải có tiêu thức “đơn vị tính” mà đơn vị tính xác định theo từng lần cung cấp dịch vụ và nội dung dịch vụ cung cấp;</w:t>
      </w:r>
    </w:p>
    <w:p>
      <w:pPr>
        <w:pStyle w:val="Normal"/>
        <w:bidi w:val="0"/>
        <w:spacing w:before="120" w:after="280"/>
        <w:jc w:val="both"/>
        <w:rPr>
          <w:rFonts w:ascii="Times New Roman" w:hAnsi="Times New Roman"/>
          <w:sz w:val="26"/>
          <w:szCs w:val="26"/>
        </w:rPr>
      </w:pPr>
      <w:r>
        <w:rPr>
          <w:rFonts w:ascii="Times New Roman" w:hAnsi="Times New Roman"/>
          <w:sz w:val="26"/>
          <w:szCs w:val="26"/>
        </w:rPr>
        <w:t xml:space="preserve">a.3) Số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w:t>
      </w:r>
      <w:bookmarkStart w:id="4" w:name="tc_22"/>
      <w:r>
        <w:rPr>
          <w:rFonts w:ascii="Times New Roman" w:hAnsi="Times New Roman"/>
          <w:sz w:val="26"/>
          <w:szCs w:val="26"/>
        </w:rPr>
        <w:t>điểm a, điểm b khoản 4 Điều 9</w:t>
      </w:r>
      <w:bookmarkEnd w:id="4"/>
      <w:r>
        <w:rPr>
          <w:rFonts w:ascii="Times New Roman" w:hAnsi="Times New Roman"/>
          <w:sz w:val="26"/>
          <w:szCs w:val="26"/>
        </w:rPr>
        <w:t xml:space="preserve"> được lập hóa đơn kèm bảng kê; bảng kê được lưu giữ cùng hóa đơn để phục vụ việc kiểm tra, đối chiếu của các cơ quan có thẩm quyền.</w:t>
      </w:r>
    </w:p>
    <w:p>
      <w:pPr>
        <w:pStyle w:val="Normal"/>
        <w:bidi w:val="0"/>
        <w:spacing w:before="120" w:after="280"/>
        <w:jc w:val="both"/>
        <w:rPr>
          <w:rFonts w:ascii="Times New Roman" w:hAnsi="Times New Roman"/>
          <w:sz w:val="26"/>
          <w:szCs w:val="26"/>
        </w:rPr>
      </w:pPr>
      <w:r>
        <w:rPr>
          <w:rFonts w:ascii="Times New Roman" w:hAnsi="Times New Roman"/>
          <w:sz w:val="26"/>
          <w:szCs w:val="26"/>
        </w:rPr>
        <w:t>Đối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pPr>
        <w:pStyle w:val="Normal"/>
        <w:bidi w:val="0"/>
        <w:spacing w:before="120" w:after="280"/>
        <w:jc w:val="both"/>
        <w:rPr>
          <w:rFonts w:ascii="Times New Roman" w:hAnsi="Times New Roman"/>
          <w:sz w:val="26"/>
          <w:szCs w:val="26"/>
        </w:rPr>
      </w:pPr>
      <w:r>
        <w:rPr>
          <w:rFonts w:ascii="Times New Roman" w:hAnsi="Times New Roman"/>
          <w:sz w:val="26"/>
          <w:szCs w:val="26"/>
        </w:rPr>
        <w:t>Hóa đơn phải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pPr>
        <w:pStyle w:val="Normal"/>
        <w:bidi w:val="0"/>
        <w:spacing w:before="120" w:after="280"/>
        <w:jc w:val="both"/>
        <w:rPr>
          <w:rFonts w:ascii="Times New Roman" w:hAnsi="Times New Roman"/>
          <w:sz w:val="26"/>
          <w:szCs w:val="26"/>
        </w:rPr>
      </w:pPr>
      <w:r>
        <w:rPr>
          <w:rFonts w:ascii="Times New Roman" w:hAnsi="Times New Roman"/>
          <w:sz w:val="26"/>
          <w:szCs w:val="26"/>
        </w:rPr>
        <w:t>a.4) 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pStyle w:val="Normal"/>
        <w:bidi w:val="0"/>
        <w:spacing w:before="120" w:after="280"/>
        <w:jc w:val="both"/>
        <w:rPr>
          <w:rFonts w:ascii="Times New Roman" w:hAnsi="Times New Roman"/>
          <w:sz w:val="26"/>
          <w:szCs w:val="26"/>
        </w:rPr>
      </w:pPr>
      <w:r>
        <w:rPr>
          <w:rFonts w:ascii="Times New Roman" w:hAnsi="Times New Roman"/>
          <w:sz w:val="26"/>
          <w:szCs w:val="26"/>
        </w:rPr>
        <w:t>b)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pStyle w:val="Normal"/>
        <w:bidi w:val="0"/>
        <w:spacing w:before="120" w:after="280"/>
        <w:jc w:val="both"/>
        <w:rPr>
          <w:rFonts w:ascii="Times New Roman" w:hAnsi="Times New Roman"/>
          <w:sz w:val="26"/>
          <w:szCs w:val="26"/>
        </w:rPr>
      </w:pPr>
      <w:r>
        <w:rPr>
          <w:rFonts w:ascii="Times New Roman" w:hAnsi="Times New Roman"/>
          <w:sz w:val="26"/>
          <w:szCs w:val="26"/>
        </w:rPr>
        <w:t>c)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pStyle w:val="Normal"/>
        <w:bidi w:val="0"/>
        <w:spacing w:before="120" w:after="280"/>
        <w:jc w:val="both"/>
        <w:rPr>
          <w:rFonts w:ascii="Times New Roman" w:hAnsi="Times New Roman"/>
          <w:sz w:val="26"/>
          <w:szCs w:val="26"/>
        </w:rPr>
      </w:pPr>
      <w:r>
        <w:rPr>
          <w:rFonts w:ascii="Times New Roman" w:hAnsi="Times New Roman"/>
          <w:sz w:val="26"/>
          <w:szCs w:val="26"/>
        </w:rPr>
        <w:t>d) 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pPr>
        <w:pStyle w:val="Normal"/>
        <w:bidi w:val="0"/>
        <w:spacing w:before="120" w:after="280"/>
        <w:jc w:val="both"/>
        <w:rPr>
          <w:rFonts w:ascii="Times New Roman" w:hAnsi="Times New Roman"/>
          <w:sz w:val="26"/>
          <w:szCs w:val="26"/>
        </w:rPr>
      </w:pPr>
      <w:r>
        <w:rPr>
          <w:rFonts w:ascii="Times New Roman" w:hAnsi="Times New Roman"/>
          <w:sz w:val="26"/>
          <w:szCs w:val="26"/>
        </w:rPr>
        <w:t>đ) Trường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pPr>
        <w:pStyle w:val="Normal"/>
        <w:bidi w:val="0"/>
        <w:spacing w:before="120" w:after="280"/>
        <w:jc w:val="both"/>
        <w:rPr>
          <w:rFonts w:ascii="Times New Roman" w:hAnsi="Times New Roman"/>
          <w:sz w:val="26"/>
          <w:szCs w:val="26"/>
        </w:rPr>
      </w:pPr>
      <w:r>
        <w:rPr>
          <w:rFonts w:ascii="Times New Roman" w:hAnsi="Times New Roman"/>
          <w:sz w:val="26"/>
          <w:szCs w:val="26"/>
        </w:rPr>
        <w:t>e) Trường hợp doanh nghiệp vận tải hàng không sử dụng hệ thống xuất vé được lập theo thông lệ quốc tế thì các khoản phí dịch vụ thu trên chứng từ vận tải hàng không (phí quản trị hệ thống, phí đổi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pPr>
        <w:pStyle w:val="Normal"/>
        <w:bidi w:val="0"/>
        <w:spacing w:before="120" w:after="280"/>
        <w:jc w:val="both"/>
        <w:rPr>
          <w:rFonts w:ascii="Times New Roman" w:hAnsi="Times New Roman"/>
          <w:sz w:val="26"/>
          <w:szCs w:val="26"/>
        </w:rPr>
      </w:pPr>
      <w:r>
        <w:rPr>
          <w:rFonts w:ascii="Times New Roman" w:hAnsi="Times New Roman"/>
          <w:sz w:val="26"/>
          <w:szCs w:val="26"/>
        </w:rPr>
        <w:t>6. Chữ ký của người bán, chữ ký của người mua, cụ thể:</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là nhà cung cấp ở nước ngoài là chữ ký điện tử theo quy định của pháp luật về giao dịch điện tử.</w:t>
      </w:r>
    </w:p>
    <w:p>
      <w:pPr>
        <w:pStyle w:val="Normal"/>
        <w:bidi w:val="0"/>
        <w:spacing w:before="120" w:after="280"/>
        <w:jc w:val="both"/>
        <w:rPr>
          <w:rFonts w:ascii="Times New Roman" w:hAnsi="Times New Roman"/>
          <w:sz w:val="26"/>
          <w:szCs w:val="26"/>
        </w:rPr>
      </w:pPr>
      <w:r>
        <w:rPr>
          <w:rFonts w:ascii="Times New Roman" w:hAnsi="Times New Roman"/>
          <w:sz w:val="26"/>
          <w:szCs w:val="26"/>
        </w:rPr>
        <w:t xml:space="preserve">Trường hợp hóa đơn điện tử không nhất thiết phải có chữ ký số của người bán và người mua thực hiện theo quy định tại </w:t>
      </w:r>
      <w:bookmarkStart w:id="5" w:name="tc_23"/>
      <w:r>
        <w:rPr>
          <w:rFonts w:ascii="Times New Roman" w:hAnsi="Times New Roman"/>
          <w:sz w:val="26"/>
          <w:szCs w:val="26"/>
        </w:rPr>
        <w:t>điểm 9 Phụ lục này</w:t>
      </w:r>
      <w:bookmarkEnd w:id="5"/>
      <w:r>
        <w:rPr>
          <w:rFonts w:ascii="Times New Roman" w:hAnsi="Times New Roman"/>
          <w:sz w:val="26"/>
          <w:szCs w:val="26"/>
        </w:rPr>
        <w:t>.</w:t>
      </w:r>
    </w:p>
    <w:p>
      <w:pPr>
        <w:pStyle w:val="Normal"/>
        <w:bidi w:val="0"/>
        <w:spacing w:before="120" w:after="280"/>
        <w:jc w:val="both"/>
        <w:rPr>
          <w:rFonts w:ascii="Times New Roman" w:hAnsi="Times New Roman"/>
          <w:sz w:val="26"/>
          <w:szCs w:val="26"/>
        </w:rPr>
      </w:pPr>
      <w:r>
        <w:rPr>
          <w:rFonts w:ascii="Times New Roman" w:hAnsi="Times New Roman"/>
          <w:sz w:val="26"/>
          <w:szCs w:val="26"/>
        </w:rPr>
        <w:t xml:space="preserve">7.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w:t>
      </w:r>
      <w:bookmarkStart w:id="6" w:name="tc_24"/>
      <w:r>
        <w:rPr>
          <w:rFonts w:ascii="Times New Roman" w:hAnsi="Times New Roman"/>
          <w:sz w:val="26"/>
          <w:szCs w:val="26"/>
        </w:rPr>
        <w:t>Điều 16 Nghị định này</w:t>
      </w:r>
      <w:bookmarkEnd w:id="6"/>
      <w:r>
        <w:rPr>
          <w:rFonts w:ascii="Times New Roman" w:hAnsi="Times New Roman"/>
          <w:sz w:val="26"/>
          <w:szCs w:val="26"/>
        </w:rPr>
        <w:t xml:space="preserve">). Người bán khai thuế theo thời điểm lập hóa đơn; thời điểm khai thuế đối với người mua là thời điểm nhận hóa đơn đảm bảo đúng, đầy đủ về hình thức và nội dung theo quy định tại </w:t>
      </w:r>
      <w:bookmarkStart w:id="7" w:name="tc_25"/>
      <w:r>
        <w:rPr>
          <w:rFonts w:ascii="Times New Roman" w:hAnsi="Times New Roman"/>
          <w:sz w:val="26"/>
          <w:szCs w:val="26"/>
        </w:rPr>
        <w:t>Điều 10 Nghị định này</w:t>
      </w:r>
      <w:bookmarkEnd w:id="7"/>
      <w:r>
        <w:rPr>
          <w:rFonts w:ascii="Times New Roman" w:hAnsi="Times New Roman"/>
          <w:sz w:val="26"/>
          <w:szCs w:val="26"/>
        </w:rPr>
        <w:t>.</w:t>
      </w:r>
    </w:p>
    <w:p>
      <w:pPr>
        <w:pStyle w:val="Normal"/>
        <w:bidi w:val="0"/>
        <w:spacing w:before="120" w:after="280"/>
        <w:jc w:val="both"/>
        <w:rPr>
          <w:rFonts w:ascii="Times New Roman" w:hAnsi="Times New Roman"/>
          <w:sz w:val="26"/>
          <w:szCs w:val="26"/>
        </w:rPr>
      </w:pPr>
      <w:r>
        <w:rPr>
          <w:rFonts w:ascii="Times New Roman" w:hAnsi="Times New Roman"/>
          <w:sz w:val="26"/>
          <w:szCs w:val="26"/>
        </w:rPr>
        <w:t>8. Chữ viết, chữ số và đồng tiền thể hiện trên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a) Chữ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pStyle w:val="Normal"/>
        <w:bidi w:val="0"/>
        <w:spacing w:before="120" w:after="280"/>
        <w:jc w:val="both"/>
        <w:rPr>
          <w:rFonts w:ascii="Times New Roman" w:hAnsi="Times New Roman"/>
          <w:sz w:val="26"/>
          <w:szCs w:val="26"/>
        </w:rPr>
      </w:pPr>
      <w:r>
        <w:rPr>
          <w:rFonts w:ascii="Times New Roman" w:hAnsi="Times New Roman"/>
          <w:sz w:val="26"/>
          <w:szCs w:val="26"/>
        </w:rPr>
        <w:t>b) Chữ số hiển thị trên hóa đơn là chữ số Ả-rập: 0, 1, 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pStyle w:val="Normal"/>
        <w:bidi w:val="0"/>
        <w:spacing w:before="120" w:after="280"/>
        <w:jc w:val="both"/>
        <w:rPr>
          <w:rFonts w:ascii="Times New Roman" w:hAnsi="Times New Roman"/>
          <w:sz w:val="26"/>
          <w:szCs w:val="26"/>
        </w:rPr>
      </w:pPr>
      <w:r>
        <w:rPr>
          <w:rFonts w:ascii="Times New Roman" w:hAnsi="Times New Roman"/>
          <w:sz w:val="26"/>
          <w:szCs w:val="26"/>
        </w:rPr>
        <w:t>c) Đồng tiền ghi trên hóa đơn là đồng Việt Nam, ký hiệu quốc gia là “đ”.</w:t>
      </w:r>
    </w:p>
    <w:p>
      <w:pPr>
        <w:pStyle w:val="Normal"/>
        <w:bidi w:val="0"/>
        <w:spacing w:before="120" w:after="280"/>
        <w:jc w:val="both"/>
        <w:rPr>
          <w:rFonts w:ascii="Times New Roman" w:hAnsi="Times New Roman"/>
          <w:sz w:val="26"/>
          <w:szCs w:val="26"/>
        </w:rPr>
      </w:pPr>
      <w:r>
        <w:rPr>
          <w:rFonts w:ascii="Times New Roman" w:hAnsi="Times New Roman"/>
          <w:sz w:val="26"/>
          <w:szCs w:val="26"/>
        </w:rPr>
        <w:t>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r>
    </w:p>
    <w:p>
      <w:pPr>
        <w:pStyle w:val="Normal"/>
        <w:bidi w:val="0"/>
        <w:spacing w:before="120" w:after="280"/>
        <w:jc w:val="both"/>
        <w:rPr>
          <w:rFonts w:ascii="Times New Roman" w:hAnsi="Times New Roman"/>
          <w:sz w:val="26"/>
          <w:szCs w:val="26"/>
        </w:rPr>
      </w:pPr>
      <w:r>
        <w:rPr>
          <w:rFonts w:ascii="Times New Roman" w:hAnsi="Times New Roman"/>
          <w:sz w:val="26"/>
          <w:szCs w:val="26"/>
        </w:rPr>
        <w:t>c.2) Mã ký hiệu ngoại tệ theo tiêu chuẩn quốc tế (ví dụ: 13.800,25 USD - Mười ba nghìn tám trăm đô la Mỹ và hai mươi nhăm xu, ví dụ: 5.000,50 EUR- Năm nghìn ơ-rô và năm mươi xu);</w:t>
      </w:r>
    </w:p>
    <w:p>
      <w:pPr>
        <w:pStyle w:val="Normal"/>
        <w:bidi w:val="0"/>
        <w:spacing w:before="120" w:after="280"/>
        <w:jc w:val="both"/>
        <w:rPr>
          <w:rFonts w:ascii="Times New Roman" w:hAnsi="Times New Roman"/>
          <w:sz w:val="26"/>
          <w:szCs w:val="26"/>
        </w:rPr>
      </w:pPr>
      <w:r>
        <w:rPr>
          <w:rFonts w:ascii="Times New Roman" w:hAnsi="Times New Roman"/>
          <w:sz w:val="26"/>
          <w:szCs w:val="26"/>
        </w:rPr>
        <w:t>c.3) Trường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pPr>
        <w:pStyle w:val="Normal"/>
        <w:bidi w:val="0"/>
        <w:spacing w:before="120" w:after="280"/>
        <w:jc w:val="both"/>
        <w:rPr>
          <w:rFonts w:ascii="Times New Roman" w:hAnsi="Times New Roman"/>
          <w:sz w:val="26"/>
          <w:szCs w:val="26"/>
        </w:rPr>
      </w:pPr>
      <w:r>
        <w:rPr>
          <w:rFonts w:ascii="Times New Roman" w:hAnsi="Times New Roman"/>
          <w:sz w:val="26"/>
          <w:szCs w:val="26"/>
        </w:rPr>
        <w:t>9. Một số trường hợp hóa đơn điện tử không nhất thiết có đầy đủ các nội dung</w:t>
      </w:r>
    </w:p>
    <w:p>
      <w:pPr>
        <w:pStyle w:val="Normal"/>
        <w:bidi w:val="0"/>
        <w:spacing w:before="120" w:after="280"/>
        <w:jc w:val="both"/>
        <w:rPr>
          <w:rFonts w:ascii="Times New Roman" w:hAnsi="Times New Roman"/>
          <w:sz w:val="26"/>
          <w:szCs w:val="26"/>
        </w:rPr>
      </w:pPr>
      <w:r>
        <w:rPr>
          <w:rFonts w:ascii="Times New Roman" w:hAnsi="Times New Roman"/>
          <w:sz w:val="26"/>
          <w:szCs w:val="26"/>
        </w:rPr>
        <w:t>a) Trên hóa đơn điện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pStyle w:val="Normal"/>
        <w:bidi w:val="0"/>
        <w:spacing w:before="120" w:after="280"/>
        <w:jc w:val="both"/>
        <w:rPr>
          <w:rFonts w:ascii="Times New Roman" w:hAnsi="Times New Roman"/>
          <w:sz w:val="26"/>
          <w:szCs w:val="26"/>
        </w:rPr>
      </w:pPr>
      <w:r>
        <w:rPr>
          <w:rFonts w:ascii="Times New Roman" w:hAnsi="Times New Roman"/>
          <w:sz w:val="26"/>
          <w:szCs w:val="26"/>
        </w:rPr>
        <w:t>b) Đối với hóa đơn điện tử của cơ quan thuế cấp theo từng lần phát sinh không nhất thiết phải có chữ ký số của người bán,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c) Đối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chữ ký số của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Đối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d) Đối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pStyle w:val="Normal"/>
        <w:bidi w:val="0"/>
        <w:spacing w:before="120" w:after="280"/>
        <w:jc w:val="both"/>
        <w:rPr>
          <w:rFonts w:ascii="Times New Roman" w:hAnsi="Times New Roman"/>
          <w:sz w:val="26"/>
          <w:szCs w:val="26"/>
        </w:rPr>
      </w:pPr>
      <w:r>
        <w:rPr>
          <w:rFonts w:ascii="Times New Roman" w:hAnsi="Times New Roman"/>
          <w:sz w:val="26"/>
          <w:szCs w:val="26"/>
        </w:rPr>
        <w:t>đ) Đối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pPr>
        <w:pStyle w:val="Normal"/>
        <w:bidi w:val="0"/>
        <w:spacing w:before="120" w:after="280"/>
        <w:jc w:val="both"/>
        <w:rPr>
          <w:rFonts w:ascii="Times New Roman" w:hAnsi="Times New Roman"/>
          <w:sz w:val="26"/>
          <w:szCs w:val="26"/>
        </w:rPr>
      </w:pPr>
      <w:r>
        <w:rPr>
          <w:rFonts w:ascii="Times New Roman" w:hAnsi="Times New Roman"/>
          <w:sz w:val="26"/>
          <w:szCs w:val="26"/>
        </w:rPr>
        <w:t>Trường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pPr>
        <w:pStyle w:val="Normal"/>
        <w:bidi w:val="0"/>
        <w:spacing w:before="120" w:after="280"/>
        <w:jc w:val="both"/>
        <w:rPr>
          <w:rFonts w:ascii="Times New Roman" w:hAnsi="Times New Roman"/>
          <w:sz w:val="26"/>
          <w:szCs w:val="26"/>
        </w:rPr>
      </w:pPr>
      <w:r>
        <w:rPr>
          <w:rFonts w:ascii="Times New Roman" w:hAnsi="Times New Roman"/>
          <w:sz w:val="26"/>
          <w:szCs w:val="26"/>
        </w:rPr>
        <w:t>e) Đối với hóa đơn của hoạt động xây dựng, lắp đặt; hoạt động xây nhà để bán có thu tiền theo tiến độ theo hợp đồng thì trên hóa đơn không nhất thiết phải có đơn vị tính, số lượng, đơn giá;</w:t>
      </w:r>
    </w:p>
    <w:p>
      <w:pPr>
        <w:pStyle w:val="Normal"/>
        <w:bidi w:val="0"/>
        <w:spacing w:before="120" w:after="280"/>
        <w:jc w:val="both"/>
        <w:rPr>
          <w:rFonts w:ascii="Times New Roman" w:hAnsi="Times New Roman"/>
          <w:sz w:val="26"/>
          <w:szCs w:val="26"/>
        </w:rPr>
      </w:pPr>
      <w:r>
        <w:rPr>
          <w:rFonts w:ascii="Times New Roman" w:hAnsi="Times New Roman"/>
          <w:sz w:val="26"/>
          <w:szCs w:val="26"/>
        </w:rPr>
        <w:t>g) Đối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pPr>
        <w:pStyle w:val="Normal"/>
        <w:bidi w:val="0"/>
        <w:spacing w:before="120" w:after="280"/>
        <w:jc w:val="both"/>
        <w:rPr>
          <w:rFonts w:ascii="Times New Roman" w:hAnsi="Times New Roman"/>
          <w:sz w:val="26"/>
          <w:szCs w:val="26"/>
        </w:rPr>
      </w:pPr>
      <w:r>
        <w:rPr>
          <w:rFonts w:ascii="Times New Roman" w:hAnsi="Times New Roman"/>
          <w:sz w:val="26"/>
          <w:szCs w:val="26"/>
        </w:rPr>
        <w:t>Đối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pPr>
        <w:pStyle w:val="Normal"/>
        <w:bidi w:val="0"/>
        <w:spacing w:before="120" w:after="280"/>
        <w:jc w:val="both"/>
        <w:rPr>
          <w:rFonts w:ascii="Times New Roman" w:hAnsi="Times New Roman"/>
          <w:sz w:val="26"/>
          <w:szCs w:val="26"/>
        </w:rPr>
      </w:pPr>
      <w:r>
        <w:rPr>
          <w:rFonts w:ascii="Times New Roman" w:hAnsi="Times New Roman"/>
          <w:sz w:val="26"/>
          <w:szCs w:val="26"/>
        </w:rP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pPr>
        <w:pStyle w:val="Normal"/>
        <w:bidi w:val="0"/>
        <w:spacing w:before="120" w:after="280"/>
        <w:jc w:val="both"/>
        <w:rPr>
          <w:rFonts w:ascii="Times New Roman" w:hAnsi="Times New Roman"/>
          <w:sz w:val="26"/>
          <w:szCs w:val="26"/>
        </w:rPr>
      </w:pPr>
      <w:r>
        <w:rPr>
          <w:rFonts w:ascii="Times New Roman" w:hAnsi="Times New Roman"/>
          <w:sz w:val="26"/>
          <w:szCs w:val="26"/>
        </w:rPr>
        <w:t>i) Hóa đơn doanh nghiệp vận tải hàng không xuất cho đại lý là hóa đơn xuất ra theo báo cáo đã đối chiếu giữa hai bên và theo bảng kê tổng hợp thì trên hóa đơn không nhất thiết phải có đơn giá;</w:t>
      </w:r>
    </w:p>
    <w:p>
      <w:pPr>
        <w:pStyle w:val="Normal"/>
        <w:bidi w:val="0"/>
        <w:spacing w:before="120" w:after="280"/>
        <w:jc w:val="both"/>
        <w:rPr>
          <w:rFonts w:ascii="Times New Roman" w:hAnsi="Times New Roman"/>
          <w:sz w:val="26"/>
          <w:szCs w:val="26"/>
        </w:rPr>
      </w:pPr>
      <w:r>
        <w:rPr>
          <w:rFonts w:ascii="Times New Roman" w:hAnsi="Times New Roman"/>
          <w:sz w:val="26"/>
          <w:szCs w:val="26"/>
        </w:rPr>
        <w:t>k) Đối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pPr>
        <w:pStyle w:val="Normal"/>
        <w:bidi w:val="0"/>
        <w:spacing w:before="120" w:after="280"/>
        <w:jc w:val="both"/>
        <w:rPr>
          <w:rFonts w:ascii="Times New Roman" w:hAnsi="Times New Roman"/>
          <w:sz w:val="26"/>
          <w:szCs w:val="26"/>
        </w:rPr>
      </w:pPr>
      <w:r>
        <w:rPr>
          <w:rFonts w:ascii="Times New Roman" w:hAnsi="Times New Roman"/>
          <w:sz w:val="26"/>
          <w:szCs w:val="26"/>
        </w:rPr>
        <w:t>l) Đối với hóa đơn điện tử hoạt động kinh doanh casino, trò chơi điện tử có thưởng không nhất thiết phải có tên, địa chỉ, số định danh cá nhân của người mua, chữ ký số của người mua;</w:t>
      </w:r>
    </w:p>
    <w:p>
      <w:pPr>
        <w:pStyle w:val="Normal"/>
        <w:bidi w:val="0"/>
        <w:spacing w:before="120" w:after="280"/>
        <w:jc w:val="both"/>
        <w:rPr>
          <w:rFonts w:ascii="Times New Roman" w:hAnsi="Times New Roman"/>
          <w:sz w:val="26"/>
          <w:szCs w:val="26"/>
        </w:rPr>
      </w:pPr>
      <w:r>
        <w:rPr>
          <w:rFonts w:ascii="Times New Roman" w:hAnsi="Times New Roman"/>
          <w:sz w:val="26"/>
          <w:szCs w:val="26"/>
        </w:rPr>
        <w:t>m) Đối với hóa đơn điện tử ủy nhiệm thì trên hóa đơn không nhất thiết phải có chữ ký số của người bán, bên nhận ủy nhiệm có trách nhiệm ký số trên hóa đơn điện tử được ủy nhiệm lập;</w:t>
      </w:r>
    </w:p>
    <w:p>
      <w:pPr>
        <w:pStyle w:val="Normal"/>
        <w:bidi w:val="0"/>
        <w:spacing w:before="120" w:after="280"/>
        <w:jc w:val="both"/>
        <w:rPr>
          <w:rFonts w:ascii="Times New Roman" w:hAnsi="Times New Roman"/>
          <w:sz w:val="26"/>
          <w:szCs w:val="26"/>
        </w:rPr>
      </w:pPr>
      <w:r>
        <w:rPr>
          <w:rFonts w:ascii="Times New Roman" w:hAnsi="Times New Roman"/>
          <w:sz w:val="26"/>
          <w:szCs w:val="26"/>
        </w:rPr>
        <w:t>n) Đối với hóa đơn thương mại điện tử trên hóa đơn không nhất thiết phải có số định danh cá nhân, chữ ký số của người mua.</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8</Pages>
  <Words>4493</Words>
  <Characters>15814</Characters>
  <CharactersWithSpaces>20241</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2026-07-11T11:42:33Z</dcterms:created>
  <dc:creator/>
  <dc:description/>
  <dc:language>vi-VN</dc:language>
  <cp:lastModifiedBy/>
  <dcterms:modified xsi:type="dcterms:W3CDTF">2026-07-11T11:43:44Z</dcterms:modified>
  <cp:revision>1</cp:revision>
  <dc:subject/>
  <dc:title/>
</cp:coreProperties>
</file>