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120" w:after="0"/>
        <w:jc w:val="center"/>
        <w:rPr>
          <w:rFonts w:ascii="Arial" w:hAnsi="Arial" w:cs="Arial"/>
          <w:b/>
        </w:rPr>
      </w:pPr>
      <w:bookmarkStart w:id="0" w:name="chuong_pl_1"/>
      <w:r>
        <w:rPr>
          <w:rFonts w:cs="Arial" w:ascii="Times New Roman" w:hAnsi="Times New Roman"/>
          <w:b/>
          <w:sz w:val="24"/>
          <w:szCs w:val="24"/>
        </w:rPr>
        <w:t>PHỤ LỤC I</w:t>
      </w:r>
      <w:bookmarkEnd w:id="0"/>
    </w:p>
    <w:p>
      <w:pPr>
        <w:pStyle w:val="Normal"/>
        <w:bidi w:val="0"/>
        <w:spacing w:lineRule="auto" w:line="240" w:before="120" w:after="0"/>
        <w:jc w:val="center"/>
        <w:rPr>
          <w:rFonts w:ascii="Arial" w:hAnsi="Arial" w:cs="Arial"/>
          <w:sz w:val="20"/>
        </w:rPr>
      </w:pPr>
      <w:bookmarkStart w:id="1" w:name="chuong_pl_1_name"/>
      <w:r>
        <w:rPr>
          <w:rFonts w:cs="Arial" w:ascii="Times New Roman" w:hAnsi="Times New Roman"/>
          <w:sz w:val="24"/>
          <w:szCs w:val="24"/>
        </w:rPr>
        <w:t>DANH MỤC SẢN PHẨM, BAO BÌ VÀ TỶ LỆ TÁI CHẾ BẮT BUỘC, QUY CÁCH TÁI CHẾ BẮT BUỘC</w:t>
      </w:r>
      <w:bookmarkEnd w:id="1"/>
      <w:r>
        <w:rPr>
          <w:rFonts w:cs="Arial" w:ascii="Times New Roman" w:hAnsi="Times New Roman"/>
          <w:sz w:val="24"/>
          <w:szCs w:val="24"/>
        </w:rPr>
        <w:br/>
      </w:r>
      <w:r>
        <w:rPr>
          <w:rFonts w:cs="Arial" w:ascii="Times New Roman" w:hAnsi="Times New Roman"/>
          <w:i/>
          <w:sz w:val="24"/>
          <w:szCs w:val="24"/>
        </w:rPr>
        <w:t>(Kèm theo Nghị định số 110/2026/NĐ-CP ngày 01 tháng 4 năm 2026 của Chính phủ)</w:t>
      </w:r>
    </w:p>
    <w:tbl>
      <w:tblPr>
        <w:tblW w:w="5000" w:type="pct"/>
        <w:jc w:val="start"/>
        <w:tblInd w:w="-12" w:type="dxa"/>
        <w:tblLayout w:type="fixed"/>
        <w:tblCellMar>
          <w:top w:w="0" w:type="dxa"/>
          <w:start w:w="10" w:type="dxa"/>
          <w:bottom w:w="0" w:type="dxa"/>
          <w:end w:w="10" w:type="dxa"/>
        </w:tblCellMar>
      </w:tblPr>
      <w:tblGrid>
        <w:gridCol w:w="696"/>
        <w:gridCol w:w="4674"/>
        <w:gridCol w:w="875"/>
        <w:gridCol w:w="3393"/>
      </w:tblGrid>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b/>
                <w:sz w:val="24"/>
                <w:szCs w:val="24"/>
              </w:rPr>
              <w:t>TT</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b/>
                <w:sz w:val="24"/>
                <w:szCs w:val="24"/>
              </w:rPr>
              <w:t>Nhóm sản phẩm, bao bì</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b/>
                <w:sz w:val="24"/>
                <w:szCs w:val="24"/>
              </w:rPr>
              <w:t>Tỷ lệ tái chế bắt buộc</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b/>
                <w:sz w:val="24"/>
                <w:szCs w:val="24"/>
              </w:rPr>
              <w:t>Quy cách tái chế bắt buộc</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(3)</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(4)</w:t>
            </w:r>
          </w:p>
        </w:tc>
      </w:tr>
      <w:tr>
        <w:trPr/>
        <w:tc>
          <w:tcPr>
            <w:tcW w:w="9638" w:type="dxa"/>
            <w:gridSpan w:val="4"/>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b/>
                <w:sz w:val="24"/>
                <w:szCs w:val="24"/>
              </w:rPr>
              <w:t>A. BAO BÌ</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A.1.1. Bao bì giấy, carton (bao gồm cả giấy hoặc carton tráng phủ là giấy hoặc carton được tráng phủ một hoặc hai mặt mà không mất đi nhận dạng là giấy, carton)</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20%</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bột giấy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A.1.2. Bao bì giấy hỗn hợp đa lớp (bao bì có từ 2 lớp trở lên trong đó có lớp giấy)</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15%</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bột giấy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3</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A.2.1. Bao bì nhôm</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22%</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phôi nhôm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4</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A.2.2</w:t>
            </w:r>
            <w:bookmarkStart w:id="2" w:name="_GoBack"/>
            <w:bookmarkEnd w:id="2"/>
            <w:r>
              <w:rPr>
                <w:rFonts w:cs="Arial" w:ascii="Times New Roman" w:hAnsi="Times New Roman"/>
                <w:sz w:val="24"/>
                <w:szCs w:val="24"/>
              </w:rPr>
              <w:t>. Bao bì sắt và kim loại khác</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20%</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phôi kim loại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5</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A.3.1. Bao bì PET cứng</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22%</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hạt nhựa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 (không bao gồm mảnh nhựa, nhiên liệu đốt)</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6</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A.3.2. Bao bì HDPE, LDPE, PP, PS cứng</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15%</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hạt nhựa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 (không bao gồm mảnh nhựa, nhiên liệu đốt)</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7</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A.3.3. Bao bì EPS, PVC cứng và bao bì nhựa cứng khác (trừ nhựa phân hủy sinh học)</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10%</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hạt nhựa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 (không bao gồm mảnh nhựa, nhiên liệu đốt)</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8</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A.3.4. Bao bì nhựa mềm (là loại bao bì có tính linh hoạt cao, dễ dàng uốn cong, co giãn và thay đổi hình dạng mà không làm mất tính toàn vẹn cấu trúc bao bì (ví dụ: các bao bì dệt từ sợi, màng co, túi nhựa linh hoạt))</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Bao bì đơn vật liệu mềm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Bao bì đa vật liệu mềm</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10%</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hạt nhựa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bao bì hoặc sản phẩm cụ thể (không bao gồm mảnh nhựa)</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9</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A.4.1. Bao bì thủy tinh</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15%</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Xay, nghiền thành bột, hạt thủy tinh làm nguyên liệu cho quá trình sản xuất khác</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các sản phẩm khác (kể cả sản xuất gạch không nung, bê tông, cát nhân tạo)</w:t>
            </w:r>
          </w:p>
        </w:tc>
      </w:tr>
      <w:tr>
        <w:trPr/>
        <w:tc>
          <w:tcPr>
            <w:tcW w:w="5370" w:type="dxa"/>
            <w:gridSpan w:val="2"/>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b/>
                <w:sz w:val="24"/>
                <w:szCs w:val="24"/>
              </w:rPr>
              <w:t>B. ẮC QUY VÀ PIN</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center"/>
              <w:rPr>
                <w:rFonts w:ascii="Arial" w:hAnsi="Arial" w:cs="Arial"/>
                <w:sz w:val="20"/>
              </w:rPr>
            </w:pPr>
            <w:r>
              <w:rPr>
                <w:rFonts w:cs="Arial" w:ascii="Times New Roman" w:hAnsi="Times New Roman"/>
                <w:sz w:val="24"/>
                <w:szCs w:val="24"/>
              </w:rPr>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10</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B.1.1. Ắc quy chì</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12%</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Tháo dỡ, phân loại, thu hồi vật liệu nhựa và sản xuất phôi chì</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11</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B.1.2. Ắc quy các loại khác ắc quy chì</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08%</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Tháo dỡ, phân loại, thu hồi vật liệu nhựa và Lithium hoặc kim loại khác</w:t>
            </w:r>
          </w:p>
        </w:tc>
      </w:tr>
      <w:tr>
        <w:trPr/>
        <w:tc>
          <w:tcPr>
            <w:tcW w:w="696" w:type="dxa"/>
            <w:vMerge w:val="restart"/>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12</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B.2.1. Pin sạc nhiều lần</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center"/>
              <w:rPr>
                <w:rFonts w:ascii="Arial" w:hAnsi="Arial" w:cs="Arial"/>
                <w:sz w:val="20"/>
              </w:rPr>
            </w:pPr>
            <w:r>
              <w:rPr>
                <w:rFonts w:cs="Arial" w:ascii="Times New Roman" w:hAnsi="Times New Roman"/>
                <w:sz w:val="24"/>
                <w:szCs w:val="24"/>
              </w:rPr>
            </w:r>
          </w:p>
        </w:tc>
        <w:tc>
          <w:tcPr>
            <w:tcW w:w="3393" w:type="dxa"/>
            <w:vMerge w:val="restart"/>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Tháo dỡ, phân loại, thu hồi vật liệu nhựa và Lithium hoặc kim loại khác</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Xuất khẩu (có thể kèm theo sơ chế) cho đơn vị tái chế, tân trang ở nước ngoài</w:t>
            </w:r>
          </w:p>
        </w:tc>
      </w:tr>
      <w:tr>
        <w:trPr/>
        <w:tc>
          <w:tcPr>
            <w:tcW w:w="696"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Pin sạc nhiều lần (trừ Pin Lithium, Pin Nickel-Metal Hydrid sử dụng cho phương tiện giao thông)</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08%</w:t>
            </w:r>
          </w:p>
        </w:tc>
        <w:tc>
          <w:tcPr>
            <w:tcW w:w="339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696"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Pin Lithium, Pin Nickel-Metal Hydrid sử dụng cho phương tiện giao thông</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w:t>
            </w:r>
          </w:p>
        </w:tc>
        <w:tc>
          <w:tcPr>
            <w:tcW w:w="339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5370" w:type="dxa"/>
            <w:gridSpan w:val="2"/>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b/>
                <w:sz w:val="24"/>
                <w:szCs w:val="24"/>
              </w:rPr>
              <w:t>C. DẦU NHỚT</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center"/>
              <w:rPr>
                <w:rFonts w:ascii="Arial" w:hAnsi="Arial" w:cs="Arial"/>
                <w:sz w:val="20"/>
              </w:rPr>
            </w:pPr>
            <w:r>
              <w:rPr>
                <w:rFonts w:cs="Arial" w:ascii="Times New Roman" w:hAnsi="Times New Roman"/>
                <w:sz w:val="24"/>
                <w:szCs w:val="24"/>
              </w:rPr>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696" w:type="dxa"/>
            <w:vMerge w:val="restart"/>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b/>
                <w:sz w:val="20"/>
              </w:rPr>
            </w:pPr>
            <w:r>
              <w:rPr>
                <w:rFonts w:cs="Arial" w:ascii="Times New Roman" w:hAnsi="Times New Roman"/>
                <w:sz w:val="24"/>
                <w:szCs w:val="24"/>
              </w:rPr>
              <w:t>13</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C.1.1. Dầu động cơ, dầu hộp số và bôi trơn</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center"/>
              <w:rPr>
                <w:rFonts w:ascii="Arial" w:hAnsi="Arial" w:cs="Arial"/>
                <w:sz w:val="20"/>
              </w:rPr>
            </w:pPr>
            <w:r>
              <w:rPr>
                <w:rFonts w:cs="Arial" w:ascii="Times New Roman" w:hAnsi="Times New Roman"/>
                <w:sz w:val="24"/>
                <w:szCs w:val="24"/>
              </w:rPr>
            </w:r>
          </w:p>
        </w:tc>
        <w:tc>
          <w:tcPr>
            <w:tcW w:w="3393" w:type="dxa"/>
            <w:vMerge w:val="restart"/>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dầu gốc</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dầu động cơ, dầu hộp số và bôi trơn</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các sản phẩm dầu khác</w:t>
            </w:r>
          </w:p>
        </w:tc>
      </w:tr>
      <w:tr>
        <w:trPr/>
        <w:tc>
          <w:tcPr>
            <w:tcW w:w="696"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Dầu nhớt cho động cơ (không bao gồm dầu động cơ hai thì)</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15%</w:t>
            </w:r>
          </w:p>
        </w:tc>
        <w:tc>
          <w:tcPr>
            <w:tcW w:w="339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696"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Dầu hộp số và dầu bôi trơn khác</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w:t>
            </w:r>
          </w:p>
        </w:tc>
        <w:tc>
          <w:tcPr>
            <w:tcW w:w="339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5370" w:type="dxa"/>
            <w:gridSpan w:val="2"/>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b/>
                <w:sz w:val="24"/>
                <w:szCs w:val="24"/>
              </w:rPr>
              <w:t>D. SĂM, LỐP</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center"/>
              <w:rPr>
                <w:rFonts w:ascii="Arial" w:hAnsi="Arial" w:cs="Arial"/>
                <w:sz w:val="20"/>
              </w:rPr>
            </w:pPr>
            <w:r>
              <w:rPr>
                <w:rFonts w:cs="Arial" w:ascii="Times New Roman" w:hAnsi="Times New Roman"/>
                <w:sz w:val="24"/>
                <w:szCs w:val="24"/>
              </w:rPr>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b/>
                <w:sz w:val="20"/>
              </w:rPr>
            </w:pPr>
            <w:r>
              <w:rPr>
                <w:rFonts w:cs="Arial" w:ascii="Times New Roman" w:hAnsi="Times New Roman"/>
                <w:sz w:val="24"/>
                <w:szCs w:val="24"/>
              </w:rPr>
              <w:t>14</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D.1.1. Săm, lốp cao su</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05%</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Đắp, dán lốp theo tiêu chuẩn của nhà sản xuất</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bột, hạt cao su thương phẩm</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Sản xuất các sản phẩm dầu</w:t>
            </w:r>
          </w:p>
        </w:tc>
      </w:tr>
      <w:tr>
        <w:trPr/>
        <w:tc>
          <w:tcPr>
            <w:tcW w:w="9638" w:type="dxa"/>
            <w:gridSpan w:val="4"/>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b/>
                <w:sz w:val="24"/>
                <w:szCs w:val="24"/>
              </w:rPr>
              <w:t>Đ. ĐIỆN - ĐIỆN TỬ (không bao gồm linh kiện, cụm linh kiện)</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15</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Đ.1.1. Tủ lạnh, tủ đông, điều hòa không khí, bếp điện, bếp từ, bếp hồng ngoại, lò nướng, lò vi sóng</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05%</w:t>
            </w:r>
          </w:p>
        </w:tc>
        <w:tc>
          <w:tcPr>
            <w:tcW w:w="3393" w:type="dxa"/>
            <w:vMerge w:val="restart"/>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Tháo dỡ, phân loại, thu hồi theo từng loại vật liệu bao gồm kim loại, nhựa và các vật liệu khác</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16</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Đ.1.2. Máy giặt, máy sấy quần áo, loa, âm ly</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09%</w:t>
            </w:r>
          </w:p>
        </w:tc>
        <w:tc>
          <w:tcPr>
            <w:tcW w:w="339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17</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Đ.2.1. Thiết bị màn hình: tivi, màn hình máy tính để bàn</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07%</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Tháo dỡ, phân loại, thu hồi theo từng loại vật liệu bao gồm kim loại, nhựa và các vật liệu khác</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Xay, nghiền thành bột, hạt thủy tinh (nếu có) làm nguyên liệu cho quá trình sản xuất khác (kể cả sản xuất gạch không nung, bê tông, cát nhân tạo)</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18</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Đ.3.1. Máy tính bảng, máy tính xách tay, máy ảnh (kể cả đèn flash), máy quay phim</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09%</w:t>
            </w:r>
          </w:p>
        </w:tc>
        <w:tc>
          <w:tcPr>
            <w:tcW w:w="3393" w:type="dxa"/>
            <w:vMerge w:val="restart"/>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 Tháo dỡ, phân loại, thu hồi theo từng loại vật liệu bao gồm kim loại, nhựa và các vật liệu khác</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 Xay, nghiền thành bột, hạt thủy tinh (nếu có) làm nguyên liệu cho quá trình sản xuất khác (kể cả sản xuất gạch không nung, bê tông, cát nhân tạo)</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19</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Đ.3.2. Điện thoại di động</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15%</w:t>
            </w:r>
          </w:p>
        </w:tc>
        <w:tc>
          <w:tcPr>
            <w:tcW w:w="339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bidi w:val="0"/>
              <w:snapToGrid w:val="false"/>
              <w:spacing w:lineRule="auto" w:line="240" w:before="120" w:after="0"/>
              <w:jc w:val="start"/>
              <w:rPr>
                <w:rFonts w:ascii="Arial" w:hAnsi="Arial" w:cs="Arial"/>
                <w:sz w:val="20"/>
              </w:rPr>
            </w:pPr>
            <w:r>
              <w:rPr>
                <w:rFonts w:cs="Arial" w:ascii="Times New Roman" w:hAnsi="Times New Roman"/>
                <w:sz w:val="24"/>
                <w:szCs w:val="24"/>
              </w:rPr>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20</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Đ.4.1. Máy tính để bàn (không bao gồm màn hình), máy in, máy photocopy</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09%</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Tháo dỡ, phân loại, thu hồi theo từng loại vật liệu bao gồm kim loại, nhựa và các vật liệu khác</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21</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Đ.5.1. Bóng đèn compact, bóng đèn huỳnh quang</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08%</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Tháo dỡ, phân loại, thu hồi phế liệu kim loại và xay nghiền bột, hạt thủy tinh làm nguyên liệu cho quá trình sản xuất khác (kể cả sản xuất gạch không nung, bê tông, cát nhân tạo)</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22</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Đ.6.1. Tấm quang năng (còn gọi là pin năng lượng mặt trời)</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03%</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Tháo dỡ, phân loại, thu hồi phế liệu kim loại và xay nghiền bột, hạt thủy tinh làm nguyên liệu cho quá trình sản xuất khác (kể cả sản xuất gạch không nung, bê tông, cát nhân tạo)</w:t>
            </w:r>
          </w:p>
        </w:tc>
      </w:tr>
      <w:tr>
        <w:trPr/>
        <w:tc>
          <w:tcPr>
            <w:tcW w:w="9638" w:type="dxa"/>
            <w:gridSpan w:val="4"/>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b/>
                <w:sz w:val="24"/>
                <w:szCs w:val="24"/>
              </w:rPr>
              <w:t>E. PHƯƠNG TIỆN GIAO THÔNG ĐƯỜNG BỘ</w:t>
            </w:r>
          </w:p>
        </w:tc>
      </w:tr>
      <w:tr>
        <w:trPr/>
        <w:tc>
          <w:tcPr>
            <w:tcW w:w="696"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23</w:t>
            </w:r>
          </w:p>
        </w:tc>
        <w:tc>
          <w:tcPr>
            <w:tcW w:w="4674"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E.1.1. Ô tô chở hàng, ô tô chở hàng chuyên dùng; ô tô chở người có số người cho phép chở từ 09 người trở lên (không kể người lái xe), xe ô tô chở trẻ em mầm non, xe ô tô chở học sinh, xe chở hàng bốn bánh có gắn động cơ; xe chở người bốn bánh có gắn động cơ (loại có niên hạn sử dụng theo quy định của pháp luật về trật tự, an toàn giao thông đường bộ)</w:t>
            </w:r>
          </w:p>
        </w:tc>
        <w:tc>
          <w:tcPr>
            <w:tcW w:w="875"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center"/>
              <w:rPr>
                <w:rFonts w:ascii="Arial" w:hAnsi="Arial" w:cs="Arial"/>
                <w:sz w:val="20"/>
              </w:rPr>
            </w:pPr>
            <w:r>
              <w:rPr>
                <w:rFonts w:cs="Arial" w:ascii="Times New Roman" w:hAnsi="Times New Roman"/>
                <w:sz w:val="24"/>
                <w:szCs w:val="24"/>
              </w:rPr>
              <w:t>0,5%</w:t>
            </w:r>
          </w:p>
        </w:tc>
        <w:tc>
          <w:tcPr>
            <w:tcW w:w="3393" w:type="dxa"/>
            <w:tcBorders>
              <w:top w:val="single" w:sz="2" w:space="0" w:color="000000"/>
              <w:start w:val="single" w:sz="2" w:space="0" w:color="000000"/>
              <w:bottom w:val="single" w:sz="2" w:space="0" w:color="000000"/>
              <w:end w:val="single" w:sz="2" w:space="0" w:color="000000"/>
            </w:tcBorders>
            <w:vAlign w:val="center"/>
          </w:tcPr>
          <w:p>
            <w:pPr>
              <w:pStyle w:val="Normal"/>
              <w:bidi w:val="0"/>
              <w:spacing w:lineRule="auto" w:line="240" w:before="120" w:after="0"/>
              <w:jc w:val="start"/>
              <w:rPr>
                <w:rFonts w:ascii="Arial" w:hAnsi="Arial" w:cs="Arial"/>
                <w:sz w:val="20"/>
              </w:rPr>
            </w:pPr>
            <w:r>
              <w:rPr>
                <w:rFonts w:cs="Arial" w:ascii="Times New Roman" w:hAnsi="Times New Roman"/>
                <w:sz w:val="24"/>
                <w:szCs w:val="24"/>
              </w:rPr>
              <w:t>Phá dỡ, phân loại, thu hồi theo từng loại vật liệu bao gồm kim loại, nhựa và các vật liệu khác để đưa đi tái chế</w:t>
            </w:r>
          </w:p>
          <w:p>
            <w:pPr>
              <w:pStyle w:val="Normal"/>
              <w:bidi w:val="0"/>
              <w:spacing w:lineRule="auto" w:line="240" w:before="120" w:after="0"/>
              <w:jc w:val="start"/>
              <w:rPr>
                <w:rFonts w:ascii="Arial" w:hAnsi="Arial" w:cs="Arial"/>
                <w:sz w:val="20"/>
              </w:rPr>
            </w:pPr>
            <w:r>
              <w:rPr>
                <w:rFonts w:cs="Arial" w:ascii="Times New Roman" w:hAnsi="Times New Roman"/>
                <w:sz w:val="24"/>
                <w:szCs w:val="24"/>
              </w:rPr>
              <w:t>(Được tái chế các loại ô tô khác để thực hiện trách nhiệm tái chế đối với nhóm sản phẩm này)</w:t>
            </w:r>
          </w:p>
        </w:tc>
      </w:tr>
    </w:tbl>
    <w:p>
      <w:pPr>
        <w:pStyle w:val="Normal"/>
        <w:bidi w:val="0"/>
        <w:spacing w:lineRule="auto" w:line="240" w:before="120" w:after="0"/>
        <w:jc w:val="start"/>
        <w:rPr>
          <w:rFonts w:ascii="Arial" w:hAnsi="Arial" w:cs="Arial"/>
          <w:sz w:val="20"/>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1164</Words>
  <Characters>4026</Characters>
  <CharactersWithSpaces>5059</CharactersWithSpaces>
  <Paragraphs>131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2026-08-01T09:56:43Z</dcterms:created>
  <dc:creator/>
  <dc:description/>
  <dc:language>vi-VN</dc:language>
  <cp:lastModifiedBy/>
  <dcterms:modified xsi:type="dcterms:W3CDTF">2026-08-01T09:57:35Z</dcterms:modified>
  <cp:revision>1</cp:revision>
  <dc:subject/>
  <dc:title/>
</cp:coreProperties>
</file>