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5F1" w:rsidRPr="009805F1" w:rsidRDefault="009805F1" w:rsidP="009805F1">
      <w:pPr>
        <w:shd w:val="clear" w:color="auto" w:fill="FFFFFF"/>
        <w:spacing w:after="0" w:line="234" w:lineRule="atLeast"/>
        <w:jc w:val="center"/>
        <w:rPr>
          <w:rFonts w:ascii="Arial" w:eastAsia="Times New Roman" w:hAnsi="Arial" w:cs="Arial"/>
          <w:noProof w:val="0"/>
          <w:color w:val="000000"/>
          <w:sz w:val="18"/>
          <w:szCs w:val="18"/>
          <w:lang w:val="en-US"/>
        </w:rPr>
      </w:pPr>
      <w:bookmarkStart w:id="0" w:name="chuong_pl_7"/>
      <w:r w:rsidRPr="009805F1">
        <w:rPr>
          <w:rFonts w:ascii="Arial" w:eastAsia="Times New Roman" w:hAnsi="Arial" w:cs="Arial"/>
          <w:b/>
          <w:bCs/>
          <w:noProof w:val="0"/>
          <w:color w:val="000000"/>
          <w:sz w:val="18"/>
          <w:szCs w:val="18"/>
          <w:lang w:val="en-US"/>
        </w:rPr>
        <w:t>Phụ lục 5</w:t>
      </w:r>
      <w:bookmarkEnd w:id="0"/>
    </w:p>
    <w:p w:rsidR="009805F1" w:rsidRPr="009805F1" w:rsidRDefault="009805F1" w:rsidP="009805F1">
      <w:pPr>
        <w:shd w:val="clear" w:color="auto" w:fill="FFFFFF"/>
        <w:spacing w:after="0" w:line="234" w:lineRule="atLeast"/>
        <w:jc w:val="center"/>
        <w:rPr>
          <w:rFonts w:ascii="Arial" w:eastAsia="Times New Roman" w:hAnsi="Arial" w:cs="Arial"/>
          <w:noProof w:val="0"/>
          <w:color w:val="000000"/>
          <w:sz w:val="18"/>
          <w:szCs w:val="18"/>
          <w:lang w:val="en-US"/>
        </w:rPr>
      </w:pPr>
      <w:bookmarkStart w:id="1" w:name="chuong_pl_7_name"/>
      <w:r w:rsidRPr="009805F1">
        <w:rPr>
          <w:rFonts w:ascii="Arial" w:eastAsia="Times New Roman" w:hAnsi="Arial" w:cs="Arial"/>
          <w:b/>
          <w:bCs/>
          <w:noProof w:val="0"/>
          <w:color w:val="000000"/>
          <w:sz w:val="18"/>
          <w:szCs w:val="18"/>
          <w:lang w:val="en-US"/>
        </w:rPr>
        <w:t>ĐỊNH HƯỚNG DANH MỤC VỊ TRÍ VIỆC LÀM Ở CẤP XÃ</w:t>
      </w:r>
      <w:bookmarkEnd w:id="1"/>
    </w:p>
    <w:p w:rsidR="009805F1" w:rsidRPr="009805F1" w:rsidRDefault="009805F1" w:rsidP="009805F1">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
        <w:gridCol w:w="3146"/>
        <w:gridCol w:w="5718"/>
      </w:tblGrid>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TT</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VTVL lãnh đạo, quản lý (08 vị trí)</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Xác định nhiệm vụ và khung năng lực của VTVL</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 </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TỔNG CỘNG:</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8 vị trí</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Chánh Văn phòng Hội đồng nhân dân và Ủy ban nhân dân</w:t>
            </w:r>
          </w:p>
        </w:tc>
        <w:tc>
          <w:tcPr>
            <w:tcW w:w="3000" w:type="pct"/>
            <w:vMerge w:val="restar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Xác định nhiệm vụ và khung năng lực của vị trí việc làm Trưởng phòng thuộc huyện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2</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Trưởng phòng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Phó Chánh văn phòng Hội đồng nhân dân và Ủy ban nhân dân</w:t>
            </w:r>
          </w:p>
        </w:tc>
        <w:tc>
          <w:tcPr>
            <w:tcW w:w="3000" w:type="pct"/>
            <w:vMerge w:val="restar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Xác định nhiệm vụ và khung năng lực của vị trí việc làm Phó trưởng phòng thuộc huyện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4</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Phó Trưởng phòng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5</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Giám đốc Trung tâm Phục vụ hành chính công</w:t>
            </w:r>
          </w:p>
        </w:tc>
        <w:tc>
          <w:tcPr>
            <w:tcW w:w="3000" w:type="pct"/>
            <w:vMerge w:val="restar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theo quy định tại Nghị định số 118/2025/NĐ-CP ngày 09/6/2025 của Chính phủ; </w:t>
            </w:r>
            <w:r w:rsidRPr="009805F1">
              <w:rPr>
                <w:rFonts w:ascii="Arial" w:eastAsia="Times New Roman" w:hAnsi="Arial" w:cs="Arial"/>
                <w:i/>
                <w:iCs/>
                <w:noProof w:val="0"/>
                <w:color w:val="000000"/>
                <w:sz w:val="18"/>
                <w:szCs w:val="18"/>
                <w:lang w:val="en-US"/>
              </w:rPr>
              <w:t>hướng dẫn của Văn phòng Chính phủ (nếu có)</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6</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Phó Giám đốc Trung tâm Phục vụ hành chính công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7</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Chỉ huy trưởng Ban chỉ huy quân sự xã</w:t>
            </w:r>
          </w:p>
        </w:tc>
        <w:tc>
          <w:tcPr>
            <w:tcW w:w="3000" w:type="pct"/>
            <w:vMerge w:val="restar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theo quy định của Luật Dân quân tự vệ; </w:t>
            </w:r>
            <w:r w:rsidRPr="009805F1">
              <w:rPr>
                <w:rFonts w:ascii="Arial" w:eastAsia="Times New Roman" w:hAnsi="Arial" w:cs="Arial"/>
                <w:i/>
                <w:iCs/>
                <w:noProof w:val="0"/>
                <w:color w:val="000000"/>
                <w:sz w:val="18"/>
                <w:szCs w:val="18"/>
                <w:lang w:val="en-US"/>
              </w:rPr>
              <w:t>hướng dẫn của Bộ Quốc phòng (nếu có)</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8</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Phó Chỉ huy trưởng Ban chỉ huy quân sự xã</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TT</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VTVL chuyên môn, nghiệp vụ định hướng bố trí theo ngành, lĩnh vực</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Xác định nhiệm vụ và khung năng lực của VTVL để bố trí công chức tại cấp xã</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 </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TỔNG CỘNG:</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32 vị trí</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1</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Văn phòng Hội đồng nhân dân và Ủy ban nhân dân</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11 vị trí</w:t>
            </w:r>
          </w:p>
        </w:tc>
      </w:tr>
      <w:tr w:rsidR="009805F1" w:rsidRPr="009805F1" w:rsidTr="009805F1">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a)</w:t>
            </w:r>
          </w:p>
        </w:tc>
        <w:tc>
          <w:tcPr>
            <w:tcW w:w="1650" w:type="pc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Văn phòng</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09 vị trí</w:t>
            </w:r>
          </w:p>
        </w:tc>
      </w:tr>
      <w:tr w:rsidR="009805F1" w:rsidRPr="009805F1" w:rsidTr="009805F1">
        <w:trPr>
          <w:tblCellSpacing w:w="0" w:type="dxa"/>
        </w:trPr>
        <w:tc>
          <w:tcPr>
            <w:tcW w:w="250" w:type="pct"/>
            <w:vMerge w:val="restart"/>
            <w:tcBorders>
              <w:top w:val="single" w:sz="8" w:space="0" w:color="auto"/>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single" w:sz="8" w:space="0" w:color="auto"/>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giúp việc Hội đồng nhân dân</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Xác định nhiệm vụ chuyên viên các Ban giúp việc Hội đồng nhân dân theo quy định của Luật Tổ chức chính quyền địa phương năm 2025</w:t>
            </w:r>
          </w:p>
        </w:tc>
      </w:tr>
      <w:tr w:rsidR="009805F1" w:rsidRPr="009805F1" w:rsidTr="009805F1">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2</w:t>
            </w:r>
          </w:p>
        </w:tc>
        <w:tc>
          <w:tcPr>
            <w:tcW w:w="1650" w:type="pct"/>
            <w:vMerge w:val="restart"/>
            <w:tcBorders>
              <w:top w:val="nil"/>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Văn phòng</w:t>
            </w:r>
          </w:p>
        </w:tc>
        <w:tc>
          <w:tcPr>
            <w:tcW w:w="3000" w:type="pct"/>
            <w:tcBorders>
              <w:top w:val="nil"/>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văn phòng theo hướng dẫn tại Thông tư số 02/2023/TT-VPCP ngày 11/9/2023 của Bộ trưởng, Chủ nhiệm Văn phòng Chính phủ</w:t>
            </w:r>
          </w:p>
        </w:tc>
      </w:tr>
      <w:tr w:rsidR="009805F1" w:rsidRPr="009805F1" w:rsidTr="009805F1">
        <w:trPr>
          <w:tblCellSpacing w:w="0" w:type="dxa"/>
        </w:trPr>
        <w:tc>
          <w:tcPr>
            <w:tcW w:w="0" w:type="auto"/>
            <w:vMerge/>
            <w:tcBorders>
              <w:top w:val="nil"/>
              <w:left w:val="single" w:sz="8" w:space="0" w:color="auto"/>
              <w:bottom w:val="nil"/>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nil"/>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vMerge w:val="restar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công nghệ thông tin (gồm an toàn thông tin mạng)</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4</w:t>
            </w:r>
          </w:p>
        </w:tc>
        <w:tc>
          <w:tcPr>
            <w:tcW w:w="1650" w:type="pct"/>
            <w:vMerge w:val="restart"/>
            <w:tcBorders>
              <w:top w:val="single" w:sz="8" w:space="0" w:color="auto"/>
              <w:left w:val="single" w:sz="8" w:space="0" w:color="auto"/>
              <w:bottom w:val="nil"/>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hành chính - văn phòng (gồm quản trị công sở)</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single" w:sz="8" w:space="0" w:color="auto"/>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5</w:t>
            </w:r>
          </w:p>
        </w:tc>
        <w:tc>
          <w:tcPr>
            <w:tcW w:w="1650" w:type="pct"/>
            <w:vMerge w:val="restart"/>
            <w:tcBorders>
              <w:top w:val="single" w:sz="8" w:space="0" w:color="auto"/>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tiếp công dân, giải quyết khiếu nại, tố cáo, phòng chống tham nhũng</w:t>
            </w: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tiếp công dân, giải quyết khiếu nại, tố cáo, phòng chống tham nhũng theo hướng dẫn tại Thông tư số 01/2023/TT-TTCP ngày 01/11/2023 của Tổng Thanh tra Chính phủ</w:t>
            </w:r>
          </w:p>
        </w:tc>
      </w:tr>
      <w:tr w:rsidR="009805F1" w:rsidRPr="009805F1" w:rsidTr="009805F1">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single" w:sz="8" w:space="0" w:color="auto"/>
              <w:left w:val="single" w:sz="8" w:space="0" w:color="auto"/>
              <w:bottom w:val="nil"/>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theo tứng nhóm nhiệm vụ,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6</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Văn thư viên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 xml:space="preserve">Căn cứ khối lượng công việc theo từng nhóm nhiệm vụ thuộc lĩnh vực Văn phòng, Ủy ban nhân dân cấp xã bố trí công chức chuyên trách hoặc kiêm nhiệm để thực hiện các nhiệm vụ được giao, bảo đảm phù </w:t>
            </w:r>
            <w:r w:rsidRPr="009805F1">
              <w:rPr>
                <w:rFonts w:ascii="Arial" w:eastAsia="Times New Roman" w:hAnsi="Arial" w:cs="Arial"/>
                <w:noProof w:val="0"/>
                <w:color w:val="000000"/>
                <w:sz w:val="18"/>
                <w:szCs w:val="18"/>
                <w:lang w:val="en-US"/>
              </w:rPr>
              <w:lastRenderedPageBreak/>
              <w:t>hợp với định hướng khung biên chế công chức tại cấp xã theo quy định của cấp có thẩm quyền.</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lastRenderedPageBreak/>
              <w:t>7</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Kế toán trưởng (hoặc phụ trách kế toán)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kế toán trưởng (hoặc phụ trách kế toán) tại vị trí việc làm dùng chung lĩnh vực kế hoạch, tài chính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quy định của Luật Ngân sách nhà nước, Luật Kế toán và các văn bản hướng dẫn thực hiện Luật, Ủy ban nhân dân cấp xã bố trí công chức kế toán trưởng hoặc phụ trách kế toán tại các phòng chuyên môn và Trung tâm Phục vụ hành chính công thuộc Ủy nhân dân cấp xã được xác định là đơn vị kế toán, đơn vị dự toán ngân sách theo hướng dẫn của Bộ Tài chính</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8</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Kế toán viên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kế toán viên tại vị trí việc làm dùng chung lĩnh vực kế hoạch, tài chính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quy định của Luật Ngân sách nhà nước, Luật Kế toán và các văn bản hướng dẫn thực hiện Luật, Ủy ban nhân dân cấp xã bố trí công chức kế toán viên tại các phòng chuyên môn và Trung tâm Phục vụ hành chính công thuộc Ủy nhân dân cấp xã được xác định là đơn vị kế toán, đơn vị dự toán ngân sách theo hướng dẫn của Bộ Tài chính</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9</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kiểm tra chuyên ngành</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các nhiệm vụ quy định tại Nghị định số 217/2025/NĐ-CP ngày 05/8/2025 của Chính phủ về hoạt động kiểm tra chuyên ngành</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Ủy ban nhân dân cấp xã bố trí công chức chuyên trách hoặc kiêm nhiệm để thực hiện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b)</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Tư pháp</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01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tư pháp: Xây dựng và tổ chức thi hành pháp luật; công tác tư pháp; hòa giải ở cơ sở; trợ giúp pháp lý, nuôi con nuôi, hộ tịch, chứng thực; quản lý về xử lý vi phạm hành chính</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Tư pháp theo hướng dẫn tại Thông tư số 02/2023/TT-BTP ngày 29/6/2023 của Bộ trưởng Bộ Tư pháp</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Tư pháp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c)</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Đối ngoại</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01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lastRenderedPageBreak/>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đối ngoại</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đối ngoại theo hướng dẫn tại Thông tư số 01/2023/TT-BNG ngày 30/3/2023 của Bộ trưởng Bộ Ngoại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đối ngoại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theo tứng nhóm nhiệm vụ thuộc lĩnh vực đối ngoại,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2</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Phòng Kinh tế (đối với xã, đặc khu) hoặc Phòng Kinh tế, Hạ tầng và Đô thị (đối với phường và đặc khu Phú Quốc)</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11 vị trí</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a)</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Tài chính - Kế hoạch</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03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lĩnh vực tài chính: Quản lý về tài chính - ngân sách nhà nước</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tài chính theo hướng dẫn tại Thông tư số 54/2023/TT-BTC ngày 15/8/2023 của Bọ trưởng Bộ Tài chính</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Tài chính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quản lý kế hoạch, đầu tư, thống kê</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Kế hoạch theo hướng dẫn tại Thông tư số 03/2023/TT-BKHĐT ngày 20/4/2023 của Bộ trưởng Bộ Kế hoạch và Đầu tư</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Kế hoạch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theo tứng nhóm nhiệm vụ thuộc lĩnh vực Kế hoạch,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quản lý lĩnh vực đăng ký hộ kinh doanh, tổ hợp tác, hợp tác xã, liên hiệp hợp tác xã; hỗ trợ kinh doanh, tổ chức kinh tế tập thể</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Kế hoạch theo hướng dẫn tại Thông tư số 03/2023/TT-BKHĐT ngày 20/4/2023 của Bộ trưởng Bộ Kế hoạch và Đầu tư</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Kế hoạch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theo tứng nhóm nhiệm vụ thuộc lĩnh vực Kế hoạch,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b)</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Xây dựng và Công Thương</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04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quản lý quy hoạch, quản lý quy hoạch đô thị và nông thôn, kiến trúc</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Xây dựng theo hướng dẫn tại Thông tư số 11/2023/TT-BXD ngày 20/10/2023 của Bộ trưởng Bộ Xây dựng</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Xây dựng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quản lý lĩnh vực hoạt động đầu tư xây dựng; phát triển đô thị; hạ tầng kỹ thuật đô thị; vật liệu xây dựng; nhà ở; công sở</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Xây dựng theo hướng dẫn tại Thông tư số 11/2023/TT-BXD ngày 20/10/2023 của Bộ trưởng Bộ Xây dựng</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Xây dựng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lĩnh vực giao thông.</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Giao thông theo hướng dẫn tại Thông tư số 42/2022/TT-BGTVT ngày 30/12/2022 của Bộ trưởng Bộ Giao thông vận tải</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Giao thông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4</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lĩnh vực công thương: Quản lý tiểu thủ công nghiệp; công nghiệp; thương mại</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Công thương theo hướng dẫn tại Thông tư số 06/2023/TT-BCT ngày 23/3/2023 của Bộ trưởng Bộ Công Thương</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Công thương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c)</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Nông nghiệp và Môi trường</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04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lastRenderedPageBreak/>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quản lý lĩnh vực nông nghiệp; lâm nghiệp; diêm nghiệp; thủy lợi; thủy sản; phát triển nông nghiệp; phòng, chống thiên tai; giảm nghèo</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Nông nghiệp theo hướng dẫn tại Thông tư số 06/2023/TT-BNNPTNT ngày 12/9/2023 của Bộ trưởng Bộ Nông nghiệp và Phát triển nông thôn</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Nông nghiệp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về quản lý lĩnh vực chất lượng, an toàn thực phẩm đối với nông sản, lâm sản, thủy sản, muối; kinh tế hộ, kinh tế trang trại nông thôn, kinh tế tập thể, nông, lâm, ngư, diêm nghiệp gắn với ngành nghề, làng nghề nông thôn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Nông nghiệp theo hướng dẫn tại Thông tư số 06/2023/TT-BNNPTNT ngày 12/9/2023 của Bộ trưởng Bộ Nông nghiệp và Phát triển nông thôn</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Nông nghiệp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quản lý lĩnh vực đất đai; tài nguyên khoáng sản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Môi trường theo hướng dẫn tại Thông tư số 05/2023/TT-BTNMT ngày 31/7/2023 của Bộ trưởng Bộ Tài nguyên và Môi trường</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Môi trường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4</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quản lý lĩnh vực môi trường; tài nguyên nước</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Môi trường theo hướng dẫn tại Thông tư số 05/2023/TT-BTNMT ngày 31/7/2023 của Bộ trưởng Bộ Tài nguyên và Môi trường</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Môi trường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3</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Phòng Văn hóa - Xã hội</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08 vị trí</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a)</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Nội vụ</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03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tham mưu về tổ chức hành chính, sự nghiệp nhà nước; chính quyền địa phương, địa giới đơn vị hành chính; cán bộ, công chức, viên chức và công vụ; cải cách hành chính; hội, quỹ xã hội, quỹ từ thiện, tổ chức phi chính phủ; thi đua, khen thưởng; văn thư, lưu trữ nhà nước; thanh niên.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Nội vụ theo hướng dẫn tại Thông tư số 11/2022/TT-BNV ngày 30/12/2022 của Bộ trưởng Bộ Nội vụ</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Nội vụ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lastRenderedPageBreak/>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Tham mưu về lao động, tiền lương; việc làm; bảo hiểm xã hội; an toàn, vệ sinh lao động; người có công; bình đẳng giới</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Lao động theo hướng dẫn tại Thông tư số 10/2023/TT-BLĐTBXH ngày 17/10/2023 của Bộ trưởng Bộ Lao động - Thương binh và Xã hội</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chuyên ngành lao động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tham mưu về công tác dân tộc, tôn giáo</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Dân tộc theo hướng dẫn tại Thông tư số 01/2023/TT-UBDT ngày 20/7/2023 của Bộ trưởng, Chủ nhiệm Ủy ban Dân tộc; vị trí việc làm công chức chuyên ngành tôn giáo theo hướng dẫn tại Thông tư số 11/2022/TT-BNV ngày 30/12/2022 của Bộ trưởng Bộ Nội vụ</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chuyên ngành Dân tộc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theo từng nhóm nhiệm vụ thuộc chuyên ngành dân tộc, tôn giáo,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b)</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Giáo dục và Đào tạo</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01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lĩnh vực giáo dục và đào tạo</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Giáo dục và Đào tạo theo hướng dẫn tại Thông tư số 15/2023/TT-BGDĐT ngày 09/8/2023 của Bộ trưởng Bộ Giáo dục và Đào tạo; Thông tư số 10/2023/TT-BLĐTBXH ngày 17/10/2023 của Bộ trưởng Bộ Lao động - Thương binh và Xã hội (giáo dục nghề nghiệp)</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Giáo dục và Đào tạo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c)</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Văn hóa, Khoa học và Thông tin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03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Tham mưu về văn hóa; gia đình; thể dục, thể thao; du lịch; quảng cáo.</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văn hóa, thể thao, du lịch theo hướng dẫn tại Thông tư số 06/2023/TT-BVHTTDL ngày 15/5/2023 của Bộ trưởng Bộ Văn hóa, Thể thao và Du lịch</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 xml:space="preserve">Căn cứ tình hình thực tế tại địa bàn và yêu cầu nhiệm vụ trọng tâm thuộc lĩnh vực Văn hóa, khoa học và thông tin tại cấp xã, Ủy ban nhân dân cấp xã chủ động xác định yêu cầu về chuyên ngành đào đạo của </w:t>
            </w:r>
            <w:r w:rsidRPr="009805F1">
              <w:rPr>
                <w:rFonts w:ascii="Arial" w:eastAsia="Times New Roman" w:hAnsi="Arial" w:cs="Arial"/>
                <w:noProof w:val="0"/>
                <w:color w:val="000000"/>
                <w:sz w:val="18"/>
                <w:szCs w:val="18"/>
                <w:lang w:val="en-US"/>
              </w:rPr>
              <w:lastRenderedPageBreak/>
              <w:t>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lastRenderedPageBreak/>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tham mưu về phát thanh truyền hình; báo chí; thông tin cơ sở; thông tin đối ngoại; bưu chính; ứng dụng công nghệ thông tin; giao dịch điện tử; chính quyền số; kinh tế số; xã hội số; chuyển đổi số.</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thông tin, truyền thông theo hướng dẫn tại Thông tư số 09/2023/TT-BTTTT ngày 28/7/2023 của Bộ trưởng Bộ Thông tin và Truyền thông</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tham mưu về nghiên cứu khoa học; phát triển công nghệ; đổi mới sáng tạo; sở hữu trí tuệ; tiêu chuẩn đo lường chất lượng; ứng dụng bức xạ và đồng vị phóng xạ; an toàn bức xạ và hạt nhân.</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khoa học, công nghệ theo hướng dẫn tại Thông tư số 16/2023/TT-BKHCN ngày 09/8/2023 của Bộ trưởng Bộ Khoa học và Công nghệ</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d)</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i/>
                <w:iCs/>
                <w:noProof w:val="0"/>
                <w:color w:val="000000"/>
                <w:sz w:val="18"/>
                <w:szCs w:val="18"/>
                <w:lang w:val="en-US"/>
              </w:rPr>
              <w:t>Y tế</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01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Chuyên viên lĩnh vực y tế: Quản lý về 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của các vị trí việc làm công chức chuyên ngành thuộc lĩnh vực Y tế theo hướng dẫn tại Thông tư số 19/2023/TT-BYT ngày 06/11/2023 của Bộ trưởng Bộ Y tế</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bàn và yêu cầu nhiệm vụ trọng tâm thuộc lĩnh vực Y tế tại cấp xã,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4</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Trung tâm Phục vụ hành chính công</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01 vị trí</w:t>
            </w:r>
          </w:p>
        </w:tc>
      </w:tr>
      <w:tr w:rsidR="009805F1" w:rsidRPr="009805F1" w:rsidTr="009805F1">
        <w:trPr>
          <w:tblCellSpacing w:w="0" w:type="dxa"/>
        </w:trPr>
        <w:tc>
          <w:tcPr>
            <w:tcW w:w="2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 </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nhiệm vụ kiểm soát thủ tục hành chính theo thẩm quyền, tổ chức thực hiện TTHC theo cơ chế một cửa, một cửa liên thông, xây dựng chính quyền điện tử, theo dõi việc ứng dụng công nghệ thông tin tại Ủy ban nhân dân cấp xã.</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đầy đủ các nhiệm vụ theo Nghị định số 118/2025/NĐ-CP ngày 09/6/2025 của Chính phủ; hướng dẫn của Văn phòng Chính phủ (nếu có).</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tình hình thực tế tại địa phương và yêu cầu nhiệm vụ được giao, Ủy ban nhân dân cấp xã chủ động xác định yêu cầu về chuyên ngành đào đạo của công chức để bố trí cho phù hợp, bảo đảm thực hiện tốt các nhiệm vụ được giao.</w:t>
            </w:r>
          </w:p>
        </w:tc>
      </w:tr>
      <w:tr w:rsidR="009805F1" w:rsidRPr="009805F1" w:rsidTr="009805F1">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0" w:type="auto"/>
            <w:vMerge/>
            <w:tcBorders>
              <w:top w:val="nil"/>
              <w:left w:val="single" w:sz="8" w:space="0" w:color="auto"/>
              <w:bottom w:val="single" w:sz="8" w:space="0" w:color="auto"/>
              <w:right w:val="nil"/>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Căn cứ khối lượng công việc, Ủy ban nhân dân cấp xã bố trí công chức, viên chức chuyên trách hoặc kiêm nhiệm để thực hiện các nhiệm vụ được giao, bảo đảm phù hợp với định hướng khung biên chế công chức tại cấp xã theo quy định của cấp có thẩm quyền.</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lastRenderedPageBreak/>
              <w:t>5</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Dân quân tự vệ</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01 vị trí</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 </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Trợ lý Ban Chỉ huy quân sự</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Thực hiện theo quy định của Luật Dân quân tự vệ; </w:t>
            </w:r>
            <w:r w:rsidRPr="009805F1">
              <w:rPr>
                <w:rFonts w:ascii="Arial" w:eastAsia="Times New Roman" w:hAnsi="Arial" w:cs="Arial"/>
                <w:i/>
                <w:iCs/>
                <w:noProof w:val="0"/>
                <w:color w:val="000000"/>
                <w:sz w:val="18"/>
                <w:szCs w:val="18"/>
                <w:lang w:val="en-US"/>
              </w:rPr>
              <w:t>hướng dẫn của Bộ Quốc phòng (nếu có)</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TT</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VTVL hỗ trợ, phục vụ: 03 vị trí (không bố trí công chức)</w:t>
            </w:r>
          </w:p>
        </w:tc>
        <w:tc>
          <w:tcPr>
            <w:tcW w:w="3000" w:type="pc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b/>
                <w:bCs/>
                <w:noProof w:val="0"/>
                <w:color w:val="000000"/>
                <w:sz w:val="18"/>
                <w:szCs w:val="18"/>
                <w:lang w:val="en-US"/>
              </w:rPr>
              <w:t>Xác định nhiệm vụ và khung năng lực của VTVL</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1</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Nhân viên phục vụ</w:t>
            </w:r>
          </w:p>
        </w:tc>
        <w:tc>
          <w:tcPr>
            <w:tcW w:w="3000" w:type="pct"/>
            <w:vMerge w:val="restart"/>
            <w:tcBorders>
              <w:top w:val="nil"/>
              <w:left w:val="single" w:sz="8" w:space="0" w:color="auto"/>
              <w:bottom w:val="single" w:sz="8" w:space="0" w:color="auto"/>
              <w:right w:val="single" w:sz="8" w:space="0" w:color="auto"/>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Xác định nhiệm vụ và khung năng lực của vị trí việc làm theo hướng dẫn tại Thông tư số 12/2022/TT-BNV ngày 30/12/2022 của Bộ trưởng Bộ Nội vụ (sửa đổi, bổ sung tại Thông tư số 06/2024/TT-BNV)</w:t>
            </w: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2</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Nhân viên bảo vệ</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r>
      <w:tr w:rsidR="009805F1" w:rsidRPr="009805F1" w:rsidTr="009805F1">
        <w:trPr>
          <w:tblCellSpacing w:w="0" w:type="dxa"/>
        </w:trPr>
        <w:tc>
          <w:tcPr>
            <w:tcW w:w="2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3</w:t>
            </w:r>
          </w:p>
        </w:tc>
        <w:tc>
          <w:tcPr>
            <w:tcW w:w="1650" w:type="pct"/>
            <w:tcBorders>
              <w:top w:val="nil"/>
              <w:left w:val="single" w:sz="8" w:space="0" w:color="auto"/>
              <w:bottom w:val="single" w:sz="8" w:space="0" w:color="auto"/>
              <w:right w:val="nil"/>
            </w:tcBorders>
            <w:shd w:val="clear" w:color="auto" w:fill="auto"/>
            <w:vAlign w:val="center"/>
            <w:hideMark/>
          </w:tcPr>
          <w:p w:rsidR="009805F1" w:rsidRPr="009805F1" w:rsidRDefault="009805F1" w:rsidP="009805F1">
            <w:pPr>
              <w:spacing w:before="120" w:after="120" w:line="234" w:lineRule="atLeast"/>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Nhân viên lái xe</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9805F1" w:rsidRPr="009805F1" w:rsidRDefault="009805F1" w:rsidP="009805F1">
            <w:pPr>
              <w:spacing w:after="0" w:line="240" w:lineRule="auto"/>
              <w:rPr>
                <w:rFonts w:ascii="Arial" w:eastAsia="Times New Roman" w:hAnsi="Arial" w:cs="Arial"/>
                <w:noProof w:val="0"/>
                <w:color w:val="000000"/>
                <w:sz w:val="18"/>
                <w:szCs w:val="18"/>
                <w:lang w:val="en-US"/>
              </w:rPr>
            </w:pPr>
          </w:p>
        </w:tc>
      </w:tr>
    </w:tbl>
    <w:p w:rsidR="009805F1" w:rsidRPr="009805F1" w:rsidRDefault="009805F1" w:rsidP="009805F1">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805F1">
        <w:rPr>
          <w:rFonts w:ascii="Arial" w:eastAsia="Times New Roman" w:hAnsi="Arial" w:cs="Arial"/>
          <w:noProof w:val="0"/>
          <w:color w:val="000000"/>
          <w:sz w:val="18"/>
          <w:szCs w:val="18"/>
          <w:lang w:val="en-US"/>
        </w:rPr>
        <w:t> </w:t>
      </w:r>
    </w:p>
    <w:p w:rsidR="009805F1" w:rsidRDefault="009805F1">
      <w:bookmarkStart w:id="2" w:name="_GoBack"/>
      <w:bookmarkEnd w:id="2"/>
    </w:p>
    <w:sectPr w:rsidR="009805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467"/>
    <w:rsid w:val="0006350C"/>
    <w:rsid w:val="001101A4"/>
    <w:rsid w:val="0046722E"/>
    <w:rsid w:val="007B4467"/>
    <w:rsid w:val="00811079"/>
    <w:rsid w:val="008B2D30"/>
    <w:rsid w:val="00920B40"/>
    <w:rsid w:val="009805F1"/>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FDE52-B216-4613-821B-2FB51EA5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05F1"/>
    <w:rPr>
      <w:color w:val="0000FF"/>
      <w:u w:val="single"/>
    </w:rPr>
  </w:style>
  <w:style w:type="paragraph" w:styleId="NormalWeb">
    <w:name w:val="Normal (Web)"/>
    <w:basedOn w:val="Normal"/>
    <w:uiPriority w:val="99"/>
    <w:semiHidden/>
    <w:unhideWhenUsed/>
    <w:rsid w:val="009805F1"/>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44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3401</Words>
  <Characters>19390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2025-10-24T01:43:00Z</dcterms:created>
  <dcterms:modified xsi:type="dcterms:W3CDTF">2025-10-24T02:23:00Z</dcterms:modified>
</cp:coreProperties>
</file>