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21F" w:rsidRDefault="0086121F" w:rsidP="0086121F">
      <w:pPr>
        <w:pStyle w:val="NormalWeb"/>
        <w:shd w:val="clear" w:color="auto" w:fill="FFFFFF"/>
        <w:spacing w:before="0" w:beforeAutospacing="0" w:after="0" w:afterAutospacing="0" w:line="234" w:lineRule="atLeast"/>
        <w:jc w:val="right"/>
        <w:rPr>
          <w:rFonts w:ascii="Arial" w:hAnsi="Arial" w:cs="Arial"/>
          <w:color w:val="000000"/>
          <w:sz w:val="18"/>
          <w:szCs w:val="18"/>
        </w:rPr>
      </w:pPr>
      <w:bookmarkStart w:id="0" w:name="chuong_pl_8"/>
      <w:r>
        <w:rPr>
          <w:rFonts w:ascii="Arial" w:hAnsi="Arial" w:cs="Arial"/>
          <w:b/>
          <w:bCs/>
          <w:color w:val="000000"/>
          <w:sz w:val="20"/>
          <w:szCs w:val="20"/>
          <w:lang w:val="en-GB"/>
        </w:rPr>
        <w:br/>
        <w:t>Mẫu số 02</w:t>
      </w:r>
      <w:bookmarkEnd w:id="0"/>
    </w:p>
    <w:p w:rsidR="0086121F" w:rsidRDefault="0086121F" w:rsidP="0086121F">
      <w:pPr>
        <w:pStyle w:val="NormalWeb"/>
        <w:shd w:val="clear" w:color="auto" w:fill="FFFFFF"/>
        <w:spacing w:before="0" w:beforeAutospacing="0" w:after="0" w:afterAutospacing="0" w:line="234" w:lineRule="atLeast"/>
        <w:jc w:val="center"/>
        <w:rPr>
          <w:rFonts w:ascii="Arial" w:hAnsi="Arial" w:cs="Arial"/>
          <w:color w:val="000000"/>
          <w:sz w:val="18"/>
          <w:szCs w:val="18"/>
        </w:rPr>
      </w:pPr>
      <w:r>
        <w:rPr>
          <w:rFonts w:ascii="Arial" w:hAnsi="Arial" w:cs="Arial"/>
          <w:b/>
          <w:bCs/>
          <w:color w:val="000000"/>
          <w:sz w:val="20"/>
          <w:szCs w:val="20"/>
          <w:lang w:val="en-GB"/>
        </w:rPr>
        <w:t> </w:t>
      </w:r>
      <w:bookmarkStart w:id="1" w:name="chuong_pl_8_name"/>
      <w:r>
        <w:rPr>
          <w:rFonts w:ascii="Arial" w:hAnsi="Arial" w:cs="Arial"/>
          <w:b/>
          <w:bCs/>
          <w:color w:val="000000"/>
          <w:sz w:val="20"/>
          <w:szCs w:val="20"/>
          <w:lang w:val="en-GB"/>
        </w:rPr>
        <w:t>BÁO CÁO KINH TẾ - KỸ THUẬT ĐẦU TƯ XÂY DỰNG DỰ ÁN PPP</w:t>
      </w:r>
      <w:bookmarkEnd w:id="1"/>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Báo cáo kinh tế - kỹ thuật đầu tư xây dựng dự án PPP (BCKTKT) là tài liệu trình bày các nội dung nghiên cứu về sự cần thiết, tính khả thi và hiệu quả của dự án PPP. Phụ lục này hướng dẫn các nội dung được trình bày trong BCKTKT để cấp có thẩm quyền phê duyệt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BCNCKT, đơn vị chuẩn bị dự án hoặc nhà đầu tư sắp xếp, lựa chọn các nội dung phù hợp.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A. THÔNG TIN CƠ BẢN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Tóm tắt và thuyết minh thông tin cơ bản của dự án, bao gồm: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Tên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Tên cơ quan có thẩm quyền, cơ quan ký kết hợp đồng.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Tên đơn vị chuẩn bị dự án hoặc nhà đầu tư lập báo cáo kinh tế - kỹ thuật đầu tư xây dựng; tên cơ quan, đơn vị tiếp nhận hồ sơ của nhà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4. Tổng mức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5. Vốn nhà nước trong dự án PPP (nếu có), giá trị tối thiểu và thời hạn nộp ngân sách nhà nước (đối với dự án áp dụng loại hợp đồng O&amp;M).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6. Loại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7. Ưu đãi và bảo đảm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8. Tên bên mời thầu, hình thức lựa chọn nhà đầu tư và thời gian tổ chức lựa chọn nhà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B. CĂN CỨ LẬP BÁO CÁO KINH TẾ - KỸ THUẬT ĐẦU TƯ XÂY DỰNG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Liệt kê các văn bản pháp lý chủ yếu làm căn cứ lập BCKTKT, bao gồm: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Các Luật, Nghị định và Thông tư hướng dẫn liên quan đến việc triển khai dự án theo phương thức PPP.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Các Luật, Nghị định và Thông tư hướng dẫn liên quan đến ngành, lĩnh vực đầu tư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C. THÀNH PHẦN HỒ SƠ TRÌNH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Liệt kê thành phần hồ sơ trình tương ứng với từng giai đoạn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 THÀNH PHẦN HỒ SƠ ĐỀ NGHỊ THẨM ĐỊNH BCKTKT (HOẶC NỘI DUNG ĐIỀU CHỈNH BCKTKT)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Văn bản đề nghị thẩm định.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Dự thảo tờ trình đề nghị phê duyệt dự án (hoặc điều chỉnh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BCKTKT (hoặc nội dung điều chỉnh BCKTKT).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4. Quyết định chủ trương đầu tư (hoặc quyết định điều chỉnh chủ trương đầu tư)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5. Tài liệu pháp lý khác có liên quan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II. THÀNH PHẦN HỒ SƠ ĐỀ NGHỊ PHÊ DUYỆT DỰ ÁN (HOẶC ĐIỀU CHỈNH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Tờ trình đề nghị phê duyệt dự án (hoặc điều chỉnh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Dự thảo quyết định phê duyệt dự án (hoặc quyết định điều chỉnh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lastRenderedPageBreak/>
        <w:t>3. BCKTKT (hoặc nội dung điều chỉnh BCKTKT).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4. Báo cáo thẩm định BCNCKT (hoặc báo cáo thẩm định nội dung điều chỉnh BCNCKT).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5. Quyết định chủ trương đầu tư (hoặc quyết định điều chỉnh chủ trương đầu tư)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6. Tài liệu pháp lý khác có liên quan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D. NỘI DUNG BÁO CÁO KINH TẾ - KỸ THUẬT ĐẦU TƯ XÂY DỰNG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 SỰ CẦN THIẾT ĐẦU TƯ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Bối cảnh chung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có cấu phần xây dựng, thuyết minh các nội dung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Thuyết minh bối cảnh chung về kinh tế - xã hội của quốc gia, địa phương trong giai đoạn dự án được triển khai.</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Tổng quan về ngành, lĩnh vực mà dự án đề xuất, các ảnh hưởng trực tiếp, gián tiếp của các quy định về pháp luật chuyên ngành đối với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Nhận định các lợi ích dự kiến dự án sẽ đóng góp cho quốc gia và/hoặc địa phương.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áp dụng loại hợp đồng O&amp;M, thuyết minh sự phù hợp của dự án và các lợi ích dự kiến dự án sẽ đóng góp cho quốc gia và/hoặc địa phương.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Hiện trạng khu vực thực hiện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khởi công mới, thuyết minh về hiện trạng, thực trạng của khu vực, địa điểm sẽ triển khai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cải tạo, sửa chữa, nâng cấp, đánh giá bổ sung hiện trạng của công trình cần cải tạo, sửa chữa, nâng cấp.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áp dụng loại hợp đồng O&amp;M, đánh giá hiện trạng công trình, hệ thống cơ sở hạ tầng thuộc dự án; máy móc, thiết bị và các loại tài sản khác có liên quan.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Lợi thế của việc đầu tư theo phương thức PPP: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Phân tích chi tiết lợi thế đối với dự án khi đầu tư theo phương thức PPP so với hình thức đầu tư khác trên cơ sở các nội dung: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Khả năng thu hút nguồn vốn;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Chất lượng dịch vụ cung cấp;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Các yếu tố khác của khu vực tư nhân và nhà nước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II. PHÂN TÍCH HIỆU QUẢ KINH TẾ - XÃ HỘI CỦA DỰ ÁN; TÁC ĐỘNG VỀ MÔI TRƯỜNG, XÃ HỘI VÀ QUỐC PHÒNG, AN NINH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Xác định các yếu tố chi phí và lợi ích về mặt kinh tế - xã hội</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Xác định chi tiết các yếu tố chi phí và lợi ích về mặt kinh tế - xã hội của dự án theo các nhóm yếu tố dưới đây:</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Nhóm yếu tố có thể định lượng nhưng không định giá được (ví dụ: lợi ích do cải thiện về môi trường, lợi ích do thúc đẩy tăng trưởng kinh tế, gia tăng việc làm...).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lastRenderedPageBreak/>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Các chỉ tiêu phân tích hiệu quả kinh tế - xã hội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a) Giá trị hiện tại ròng kinh tế (ENPV)</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drawing>
          <wp:inline distT="0" distB="0" distL="0" distR="0">
            <wp:extent cx="2511425" cy="567055"/>
            <wp:effectExtent l="0" t="0" r="3175" b="4445"/>
            <wp:docPr id="7" name="Picture 7" descr="https://files.thuvienphapluat.vn/doc2htm/00672498_files/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es.thuvienphapluat.vn/doc2htm/00672498_files/image01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11425" cy="567055"/>
                    </a:xfrm>
                    <a:prstGeom prst="rect">
                      <a:avLst/>
                    </a:prstGeom>
                    <a:noFill/>
                    <a:ln>
                      <a:noFill/>
                    </a:ln>
                  </pic:spPr>
                </pic:pic>
              </a:graphicData>
            </a:graphic>
          </wp:inline>
        </w:drawing>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Trong đó: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w:t>
      </w:r>
      <w:r>
        <w:rPr>
          <w:rFonts w:ascii="Arial" w:hAnsi="Arial" w:cs="Arial"/>
          <w:color w:val="000000"/>
          <w:sz w:val="20"/>
          <w:szCs w:val="20"/>
          <w:vertAlign w:val="subscript"/>
          <w:lang w:val="en-GB"/>
        </w:rPr>
        <w:t>t</w:t>
      </w:r>
      <w:r>
        <w:rPr>
          <w:rFonts w:ascii="Arial" w:hAnsi="Arial" w:cs="Arial"/>
          <w:color w:val="000000"/>
          <w:sz w:val="20"/>
          <w:szCs w:val="20"/>
          <w:lang w:val="en-GB"/>
        </w:rPr>
        <w:t>: lợi ích năm thứ 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w:t>
      </w:r>
      <w:r>
        <w:rPr>
          <w:rFonts w:ascii="Arial" w:hAnsi="Arial" w:cs="Arial"/>
          <w:color w:val="000000"/>
          <w:sz w:val="20"/>
          <w:szCs w:val="20"/>
          <w:vertAlign w:val="subscript"/>
          <w:lang w:val="en-GB"/>
        </w:rPr>
        <w:t>t</w:t>
      </w:r>
      <w:r>
        <w:rPr>
          <w:rFonts w:ascii="Arial" w:hAnsi="Arial" w:cs="Arial"/>
          <w:color w:val="000000"/>
          <w:sz w:val="20"/>
          <w:szCs w:val="20"/>
          <w:lang w:val="en-GB"/>
        </w:rPr>
        <w:t>: chi phí năm thứ 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 năm trong vòng đời dự án (0, 1, 2,..., 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n: số năm hoạt động của dự án (thời gian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r</w:t>
      </w:r>
      <w:r>
        <w:rPr>
          <w:rFonts w:ascii="Arial" w:hAnsi="Arial" w:cs="Arial"/>
          <w:color w:val="000000"/>
          <w:sz w:val="20"/>
          <w:szCs w:val="20"/>
          <w:vertAlign w:val="subscript"/>
          <w:lang w:val="en-GB"/>
        </w:rPr>
        <w:t>e</w:t>
      </w:r>
      <w:r>
        <w:rPr>
          <w:rFonts w:ascii="Arial" w:hAnsi="Arial" w:cs="Arial"/>
          <w:color w:val="000000"/>
          <w:sz w:val="20"/>
          <w:szCs w:val="20"/>
          <w:lang w:val="en-GB"/>
        </w:rPr>
        <w:t>: tỷ suất chiết khấu kinh tế của dự án. Giá trị r</w:t>
      </w:r>
      <w:r>
        <w:rPr>
          <w:rFonts w:ascii="Arial" w:hAnsi="Arial" w:cs="Arial"/>
          <w:color w:val="000000"/>
          <w:sz w:val="20"/>
          <w:szCs w:val="20"/>
          <w:vertAlign w:val="subscript"/>
          <w:lang w:val="en-GB"/>
        </w:rPr>
        <w:t>e</w:t>
      </w:r>
      <w:r>
        <w:rPr>
          <w:rFonts w:ascii="Arial" w:hAnsi="Arial" w:cs="Arial"/>
          <w:color w:val="000000"/>
          <w:sz w:val="20"/>
          <w:szCs w:val="20"/>
          <w:lang w:val="en-GB"/>
        </w:rPr>
        <w:t> được xác định theo quy định của từng ngành. Trường hợp chưa được quy định cụ thể thì đơn vị lập BCNCKT có thể tham khảo giá trị r</w:t>
      </w:r>
      <w:r>
        <w:rPr>
          <w:rFonts w:ascii="Arial" w:hAnsi="Arial" w:cs="Arial"/>
          <w:color w:val="000000"/>
          <w:sz w:val="20"/>
          <w:szCs w:val="20"/>
          <w:vertAlign w:val="subscript"/>
          <w:lang w:val="en-GB"/>
        </w:rPr>
        <w:t>e</w:t>
      </w:r>
      <w:r>
        <w:rPr>
          <w:rFonts w:ascii="Arial" w:hAnsi="Arial" w:cs="Arial"/>
          <w:color w:val="000000"/>
          <w:sz w:val="20"/>
          <w:szCs w:val="20"/>
          <w:lang w:val="en-GB"/>
        </w:rPr>
        <w:t> = 10% hoặc đề xuất giá trị tính toán khác nhưng cần có thuyết minh về lý do lựa chọn giá trị đó.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 Tỷ số lợi ích trên chi phí về kinh tế (BCR)</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drawing>
          <wp:inline distT="0" distB="0" distL="0" distR="0">
            <wp:extent cx="1678305" cy="995680"/>
            <wp:effectExtent l="0" t="0" r="0" b="0"/>
            <wp:docPr id="6" name="Picture 6" descr="https://files.thuvienphapluat.vn/doc2htm/00672498_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iles.thuvienphapluat.vn/doc2htm/00672498_files/image01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8305" cy="995680"/>
                    </a:xfrm>
                    <a:prstGeom prst="rect">
                      <a:avLst/>
                    </a:prstGeom>
                    <a:noFill/>
                    <a:ln>
                      <a:noFill/>
                    </a:ln>
                  </pic:spPr>
                </pic:pic>
              </a:graphicData>
            </a:graphic>
          </wp:inline>
        </w:drawing>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Trong đó: B</w:t>
      </w:r>
      <w:r>
        <w:rPr>
          <w:rFonts w:ascii="Arial" w:hAnsi="Arial" w:cs="Arial"/>
          <w:color w:val="000000"/>
          <w:sz w:val="20"/>
          <w:szCs w:val="20"/>
          <w:vertAlign w:val="subscript"/>
          <w:lang w:val="en-GB"/>
        </w:rPr>
        <w:t>t</w:t>
      </w:r>
      <w:r>
        <w:rPr>
          <w:rFonts w:ascii="Arial" w:hAnsi="Arial" w:cs="Arial"/>
          <w:color w:val="000000"/>
          <w:sz w:val="20"/>
          <w:szCs w:val="20"/>
          <w:lang w:val="en-GB"/>
        </w:rPr>
        <w:t>, C</w:t>
      </w:r>
      <w:r>
        <w:rPr>
          <w:rFonts w:ascii="Arial" w:hAnsi="Arial" w:cs="Arial"/>
          <w:color w:val="000000"/>
          <w:sz w:val="20"/>
          <w:szCs w:val="20"/>
          <w:vertAlign w:val="subscript"/>
          <w:lang w:val="en-GB"/>
        </w:rPr>
        <w:t>t</w:t>
      </w:r>
      <w:r>
        <w:rPr>
          <w:rFonts w:ascii="Arial" w:hAnsi="Arial" w:cs="Arial"/>
          <w:color w:val="000000"/>
          <w:sz w:val="20"/>
          <w:szCs w:val="20"/>
          <w:lang w:val="en-GB"/>
        </w:rPr>
        <w:t>, t, n, r</w:t>
      </w:r>
      <w:r>
        <w:rPr>
          <w:rFonts w:ascii="Arial" w:hAnsi="Arial" w:cs="Arial"/>
          <w:color w:val="000000"/>
          <w:sz w:val="20"/>
          <w:szCs w:val="20"/>
          <w:vertAlign w:val="subscript"/>
          <w:lang w:val="en-GB"/>
        </w:rPr>
        <w:t>e</w:t>
      </w:r>
      <w:r>
        <w:rPr>
          <w:rFonts w:ascii="Arial" w:hAnsi="Arial" w:cs="Arial"/>
          <w:color w:val="000000"/>
          <w:sz w:val="20"/>
          <w:szCs w:val="20"/>
          <w:lang w:val="en-GB"/>
        </w:rPr>
        <w:t> có ý nghĩa tương tự như trong công thức tính ENPV nêu trên.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 Tỷ suất nội hoàn kinh tế (EIRR)</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Tỷ suất nội hoàn kinh tế là tỷ suất chiết khấu kinh tế tối đa để dự án thu hồi nguồn vốn đầu tư và chi phí vận hành, đạt được sự hòa vốn. EIRR bằng giá trị tỷ suất chiết khấu (r</w:t>
      </w:r>
      <w:r>
        <w:rPr>
          <w:rFonts w:ascii="Arial" w:hAnsi="Arial" w:cs="Arial"/>
          <w:color w:val="000000"/>
          <w:sz w:val="20"/>
          <w:szCs w:val="20"/>
          <w:vertAlign w:val="subscript"/>
          <w:lang w:val="en-GB"/>
        </w:rPr>
        <w:t>e</w:t>
      </w:r>
      <w:r>
        <w:rPr>
          <w:rFonts w:ascii="Arial" w:hAnsi="Arial" w:cs="Arial"/>
          <w:color w:val="000000"/>
          <w:sz w:val="20"/>
          <w:szCs w:val="20"/>
          <w:lang w:val="en-GB"/>
        </w:rPr>
        <w:t>) trong trường hợp ENPV = 0 và được xác định thông qua việc giải phương trình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drawing>
          <wp:inline distT="0" distB="0" distL="0" distR="0">
            <wp:extent cx="2882265" cy="486410"/>
            <wp:effectExtent l="0" t="0" r="0" b="8890"/>
            <wp:docPr id="5" name="Picture 5" descr="https://files.thuvienphapluat.vn/doc2htm/00672498_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iles.thuvienphapluat.vn/doc2htm/00672498_files/image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2265" cy="486410"/>
                    </a:xfrm>
                    <a:prstGeom prst="rect">
                      <a:avLst/>
                    </a:prstGeom>
                    <a:noFill/>
                    <a:ln>
                      <a:noFill/>
                    </a:ln>
                  </pic:spPr>
                </pic:pic>
              </a:graphicData>
            </a:graphic>
          </wp:inline>
        </w:drawing>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Trong đó: B</w:t>
      </w:r>
      <w:r>
        <w:rPr>
          <w:rFonts w:ascii="Arial" w:hAnsi="Arial" w:cs="Arial"/>
          <w:color w:val="000000"/>
          <w:sz w:val="20"/>
          <w:szCs w:val="20"/>
          <w:vertAlign w:val="subscript"/>
          <w:lang w:val="en-GB"/>
        </w:rPr>
        <w:t>t</w:t>
      </w:r>
      <w:r>
        <w:rPr>
          <w:rFonts w:ascii="Arial" w:hAnsi="Arial" w:cs="Arial"/>
          <w:color w:val="000000"/>
          <w:sz w:val="20"/>
          <w:szCs w:val="20"/>
          <w:lang w:val="en-GB"/>
        </w:rPr>
        <w:t>, C</w:t>
      </w:r>
      <w:r>
        <w:rPr>
          <w:rFonts w:ascii="Arial" w:hAnsi="Arial" w:cs="Arial"/>
          <w:color w:val="000000"/>
          <w:sz w:val="20"/>
          <w:szCs w:val="20"/>
          <w:vertAlign w:val="subscript"/>
          <w:lang w:val="en-GB"/>
        </w:rPr>
        <w:t>t</w:t>
      </w:r>
      <w:r>
        <w:rPr>
          <w:rFonts w:ascii="Arial" w:hAnsi="Arial" w:cs="Arial"/>
          <w:color w:val="000000"/>
          <w:sz w:val="20"/>
          <w:szCs w:val="20"/>
          <w:lang w:val="en-GB"/>
        </w:rPr>
        <w:t>, t, n có ý nghĩa tương tự như trong công thức tính ENPV nêu trên.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Kết luận về hiệu quả kinh tế - xã hội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lastRenderedPageBreak/>
        <w:t>Trên cơ sở phân tích theo hướng dẫn nêu trên, BCKTKT nêu kết luận về hiệu quả kinh tế - xã hội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III. PHÂN TÍCH TÀI CHÍNH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Các thông số đầu vào sử dụng trong mô hình tài chính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Các thông số đầu vào khác: Lãi vay, thời gian vay; tỷ lệ lạm phát; tỷ giá; tỷ lệ khấu hao và các thông số khác.</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Phương án tài chính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Trình bày nội dung phương án tài chính (nội dung chi tiết thực hiện theo hướng dẫn của Chính phủ tại Nghị định quy định chi tiết cơ chế tài chính trong dự án PPP), bao gồm: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Tổng mức đầu tư: Trên cơ sở các thuyết minh về kỹ thuật được lựa chọn, BCKTKT xác định tổng mức đầu tư của dự án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Vốn nhà nước tham gia trong dự án dự kiến (nếu có), cụ thể bao gồm: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Vốn hỗ trợ xây dựng công trình, hệ thống cơ sở hạ tầng thuộc dự án PPP: vốn đầu tư công;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Vốn thanh toán (bao gồm phương thức thanh toán) cho nhà đầu tư thực hiện dự án áp dụng loại hợp đồng BTL, BLT;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Vốn nhà nước để chi trả kinh phí bồi thường, giải phóng mặt bằng, hỗ trợ tái định cư, hỗ trợ xây dựng công trình tạm.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Phương án thu hồi vốn đầu tư và lợi nhuận của nhà đầu tư đối với dự án áp dụng loại hợp đồng BOT, BTO, BOO và O&amp;M.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xml:space="preserve">-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w:t>
      </w:r>
      <w:r>
        <w:rPr>
          <w:rFonts w:ascii="Arial" w:hAnsi="Arial" w:cs="Arial"/>
          <w:color w:val="000000"/>
          <w:sz w:val="20"/>
          <w:szCs w:val="20"/>
          <w:lang w:val="en-GB"/>
        </w:rPr>
        <w:lastRenderedPageBreak/>
        <w:t>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Đề xuất ưu đãi đảm bảo phương án tài chính của dự án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Dự kiến các khoản chi phí của dự án trong thời gian vận hành.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Các thông số đầu vào, chỉ tiêu tài chính.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Dự báo nhu cầu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BCKTKT phân tích nhu cầu sử dụng công trình, hệ thống cơ sở hạ tầng của dự án, sản phẩm, dịch vụ công được cung cấp; dự báo tốc độ tăng trưởng nhu cầu trong tương lai, cụ thể:</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Phân tích nhu cầu hiện tại: Căn cứ hiện trạng dự án, quy mô, công suất dự án, xác định số lượng đối tượng hưởng lợi từ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Dự báo nhu cầu tương lai: Xây dựng các kịch bản về nhu cầu (tối đa, trung bình, tối thiểu) trong suốt vòng đời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Phân tích khả năng chi trả của cộng đồng người sử dụng, tổ chức bao tiêu đối với dự án áp dụng loại hợp đồng BOT, BTO, BOO, O&amp;M.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4. Các chỉ tiêu tài chính xem xét tính khả thi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Căn cứ nội dung phương án tài chính và các thông số đầu vào của mô hình tài chính, tính khả thi về tài chính của dự án được xem xét trên cơ sở các chỉ tiêu tài chính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Giá trị hiện tại ròng tài chính (NPV) của dự án là giá trị hiện lại của dòng tiền thuần trong suốt vòng đời dự án. Để đảm bảo dự án đạt hiệu quả tài chính, NPV phải dương (&gt; 0) và được tính theo công thức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drawing>
          <wp:inline distT="0" distB="0" distL="0" distR="0">
            <wp:extent cx="1296670" cy="497840"/>
            <wp:effectExtent l="0" t="0" r="0" b="0"/>
            <wp:docPr id="4" name="Picture 4" descr="https://files.thuvienphapluat.vn/doc2htm/00672498_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iles.thuvienphapluat.vn/doc2htm/00672498_files/image01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6670" cy="497840"/>
                    </a:xfrm>
                    <a:prstGeom prst="rect">
                      <a:avLst/>
                    </a:prstGeom>
                    <a:noFill/>
                    <a:ln>
                      <a:noFill/>
                    </a:ln>
                  </pic:spPr>
                </pic:pic>
              </a:graphicData>
            </a:graphic>
          </wp:inline>
        </w:drawing>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Trong đó: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CF</w:t>
      </w:r>
      <w:r>
        <w:rPr>
          <w:rFonts w:ascii="Arial" w:hAnsi="Arial" w:cs="Arial"/>
          <w:color w:val="000000"/>
          <w:sz w:val="20"/>
          <w:szCs w:val="20"/>
          <w:vertAlign w:val="subscript"/>
          <w:lang w:val="en-GB"/>
        </w:rPr>
        <w:t>t</w:t>
      </w:r>
      <w:r>
        <w:rPr>
          <w:rFonts w:ascii="Arial" w:hAnsi="Arial" w:cs="Arial"/>
          <w:color w:val="000000"/>
          <w:sz w:val="20"/>
          <w:szCs w:val="20"/>
          <w:lang w:val="en-GB"/>
        </w:rPr>
        <w:t>: giá trị dòng tiền thuần là khoản chênh lệch giữa số tiền thu được (dòng tiền vào) và số tiền chi ra (dòng tiền ra) của dự án tại năm thứ 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 năm trong vòng đời dự án (0, 1, 2,..., 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n: số năm hoạt động của dự án (thời gian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r: tỷ suất chiết khấu.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noProof/>
          <w:color w:val="000000"/>
          <w:sz w:val="20"/>
          <w:szCs w:val="20"/>
        </w:rPr>
        <w:drawing>
          <wp:inline distT="0" distB="0" distL="0" distR="0">
            <wp:extent cx="1828800" cy="462915"/>
            <wp:effectExtent l="0" t="0" r="0" b="0"/>
            <wp:docPr id="3" name="Picture 3" descr="https://files.thuvienphapluat.vn/doc2htm/00672498_files/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iles.thuvienphapluat.vn/doc2htm/00672498_files/image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462915"/>
                    </a:xfrm>
                    <a:prstGeom prst="rect">
                      <a:avLst/>
                    </a:prstGeom>
                    <a:noFill/>
                    <a:ln>
                      <a:noFill/>
                    </a:ln>
                  </pic:spPr>
                </pic:pic>
              </a:graphicData>
            </a:graphic>
          </wp:inline>
        </w:drawing>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Trong đó: CF</w:t>
      </w:r>
      <w:r>
        <w:rPr>
          <w:rFonts w:ascii="Arial" w:hAnsi="Arial" w:cs="Arial"/>
          <w:color w:val="000000"/>
          <w:sz w:val="20"/>
          <w:szCs w:val="20"/>
          <w:vertAlign w:val="subscript"/>
          <w:lang w:val="en-GB"/>
        </w:rPr>
        <w:t>t</w:t>
      </w:r>
      <w:r>
        <w:rPr>
          <w:rFonts w:ascii="Arial" w:hAnsi="Arial" w:cs="Arial"/>
          <w:color w:val="000000"/>
          <w:sz w:val="20"/>
          <w:szCs w:val="20"/>
          <w:lang w:val="en-GB"/>
        </w:rPr>
        <w:t>, t, n có ý nghĩa tương tự như trong công thức tính NPV nêu trên.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lastRenderedPageBreak/>
        <w:t>Căn cứ điều kiện cụ thể của từng dự án, BCKTKT bổ sung các chỉ tiêu đánh giá tính khả thi của phương án tài chính theo quy định tại Nghị định cơ chế quản lý tài chính dự án PPP.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5. Kết luận về tính khả thi tài chính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Trên cơ sở các phân tích tại các Mục nêu trên, căn cứ tính chất của từng loại hợp đồng dự án, nêu kết luận về tính khả thi tài chính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6. Quản lý và sử dụng vốn nhà nước trong dự án PPP</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Căn cứ kết quả phân tích hiệu quả kinh tế - xã hội và phương án tài chính của dự án, thuyết minh các nội dung có liên quan đến việc quản lý và sử dụng vốn nhà nước trong dự án PPP, bao gồm: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IV. LOẠI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Căn cứ lựa chọn loại hợp đồng cho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BCKTKT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Phương án kỹ thuật, công nghệ;</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Trách nhiệm của các bên trong việc thực hiện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Phân tích các rủi ro chính của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4. Cơ chế phân bổ và quản lý rủi ro</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V. CÁC HÌNH THỨC ƯU ĐÃI, BẢO ĐẢM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1. Ưu đãi, bảo đảm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lastRenderedPageBreak/>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Cơ chế chia sẻ phần giảm doanh thu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Nêu rõ việc dự án được áp dụng cơ chế chia sẻ rủi ro; dự kiến nguồn vốn và khả năng cân đối nguồn vốn để xử lý rủi ro giảm doanh thu theo quyết định chủ trương đầu tư (nếu có).</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VI. KẾ HOẠCH TỔ CHỨC THỰC HIỆN DỰ ÁN</w:t>
      </w:r>
    </w:p>
    <w:p w:rsidR="0086121F" w:rsidRDefault="0086121F" w:rsidP="0086121F">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20"/>
          <w:szCs w:val="20"/>
          <w:lang w:val="en-GB"/>
        </w:rPr>
        <w:t>1. Tổ chức lựa chọn nhà đầu tư (không áp dụng đối với dự án PPP quy định tại </w:t>
      </w:r>
      <w:bookmarkStart w:id="2" w:name="dc_128"/>
      <w:r>
        <w:rPr>
          <w:rFonts w:ascii="Arial" w:hAnsi="Arial" w:cs="Arial"/>
          <w:color w:val="000000"/>
          <w:sz w:val="20"/>
          <w:szCs w:val="20"/>
          <w:lang w:val="en-GB"/>
        </w:rPr>
        <w:t>khoản 4 Điều 11 của Luật PPP</w:t>
      </w:r>
      <w:bookmarkEnd w:id="2"/>
      <w:r>
        <w:rPr>
          <w:rFonts w:ascii="Arial" w:hAnsi="Arial" w:cs="Arial"/>
          <w:color w:val="000000"/>
          <w:sz w:val="20"/>
          <w:szCs w:val="20"/>
          <w:lang w:val="en-GB"/>
        </w:rPr>
        <w: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Tên bên mời thầu.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Hình thức lựa chọn nhà đầu tư.</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Thời gian tổng thể và các mốc thời gian dự kiến tổ chức lựa chọn nhà đầu tư (dạng bảng theo dõi tiến độ).</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2. Kế hoạch thực hiện hợp đồng dự án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Đề xuất cơ quan thực hiện việc ký kết và thực hiện hợp đồng.</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Thời gian đàm phán và ký kết hợp đồng dự án với nhà đầu tư, doanh nghiệp dự án; đóng tài chính của dự án và hợp đồng dự án bắt đầu có hiệu lực.</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3. Nguyên tắc xử lý các chi phí trong quá trình chuẩn bị dự án do nhà đầu tư lập báo cáo kinh tế - kỹ thuật đầu tư xây dựng như sau:</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a) Trường hợp báo cáo kinh tế - kỹ thuật đầu tư xây dựng không được phê duyệt hoặc không lựa chọn được nhà đầu tư thực hiện dự án, nhà đầu tư chịu mọi rủi ro, chi phí;</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lang w:val="en-GB"/>
        </w:rPr>
        <w:t>Đ. KẾT LUẬN VÀ KIẾN NGHỊ</w:t>
      </w:r>
    </w:p>
    <w:p w:rsidR="0086121F" w:rsidRDefault="0086121F" w:rsidP="0086121F">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lang w:val="en-GB"/>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p w:rsidR="00534015" w:rsidRDefault="0086121F">
      <w:bookmarkStart w:id="3" w:name="_GoBack"/>
      <w:bookmarkEnd w:id="3"/>
    </w:p>
    <w:sectPr w:rsidR="005340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ABF"/>
    <w:rsid w:val="0006350C"/>
    <w:rsid w:val="001101A4"/>
    <w:rsid w:val="0046722E"/>
    <w:rsid w:val="00811079"/>
    <w:rsid w:val="0086121F"/>
    <w:rsid w:val="008B2D30"/>
    <w:rsid w:val="00920B40"/>
    <w:rsid w:val="00997ABF"/>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7D4CD-6595-449E-9599-C5A29C01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7ABF"/>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608515">
      <w:bodyDiv w:val="1"/>
      <w:marLeft w:val="0"/>
      <w:marRight w:val="0"/>
      <w:marTop w:val="0"/>
      <w:marBottom w:val="0"/>
      <w:divBdr>
        <w:top w:val="none" w:sz="0" w:space="0" w:color="auto"/>
        <w:left w:val="none" w:sz="0" w:space="0" w:color="auto"/>
        <w:bottom w:val="none" w:sz="0" w:space="0" w:color="auto"/>
        <w:right w:val="none" w:sz="0" w:space="0" w:color="auto"/>
      </w:divBdr>
    </w:div>
    <w:div w:id="203627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2896</Words>
  <Characters>16508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2025-10-29T01:21:00Z</dcterms:created>
  <dcterms:modified xsi:type="dcterms:W3CDTF">2025-10-29T01:21:00Z</dcterms:modified>
</cp:coreProperties>
</file>