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5C" w:rsidRPr="0011725C" w:rsidRDefault="0011725C" w:rsidP="0011725C">
      <w:pPr>
        <w:pStyle w:val="NormalWeb"/>
        <w:shd w:val="clear" w:color="auto" w:fill="FFFFFF"/>
        <w:spacing w:before="0" w:beforeAutospacing="0" w:after="0" w:afterAutospacing="0" w:line="234" w:lineRule="atLeast"/>
        <w:jc w:val="center"/>
        <w:rPr>
          <w:noProof/>
          <w:color w:val="000000"/>
          <w:sz w:val="18"/>
          <w:szCs w:val="18"/>
          <w:lang w:val="vi-VN"/>
        </w:rPr>
      </w:pPr>
      <w:bookmarkStart w:id="0" w:name="loai_2"/>
      <w:r w:rsidRPr="0011725C">
        <w:rPr>
          <w:b/>
          <w:bCs/>
          <w:noProof/>
          <w:color w:val="000000"/>
          <w:sz w:val="18"/>
          <w:szCs w:val="18"/>
          <w:lang w:val="vi-VN"/>
        </w:rPr>
        <w:t>BIỂU MỨC THU LỆ PHÍ CẤP GIẤY PHÉP SỬ DỤNG TẦN SỐ VÔ TUYẾN ĐIỆN VÀ PHÍ SỬ DỤNG TẦN SỐ VÔ TUYẾN ĐIỆN</w:t>
      </w:r>
      <w:bookmarkEnd w:id="0"/>
    </w:p>
    <w:p w:rsidR="0011725C" w:rsidRPr="0011725C" w:rsidRDefault="0011725C" w:rsidP="0011725C">
      <w:pPr>
        <w:pStyle w:val="NormalWeb"/>
        <w:shd w:val="clear" w:color="auto" w:fill="FFFFFF"/>
        <w:spacing w:before="120" w:beforeAutospacing="0" w:after="120" w:afterAutospacing="0" w:line="234" w:lineRule="atLeast"/>
        <w:jc w:val="center"/>
        <w:rPr>
          <w:noProof/>
          <w:color w:val="000000"/>
          <w:sz w:val="18"/>
          <w:szCs w:val="18"/>
          <w:lang w:val="vi-VN"/>
        </w:rPr>
      </w:pPr>
      <w:r w:rsidRPr="0011725C">
        <w:rPr>
          <w:i/>
          <w:iCs/>
          <w:noProof/>
          <w:color w:val="000000"/>
          <w:sz w:val="18"/>
          <w:szCs w:val="18"/>
          <w:lang w:val="vi-VN"/>
        </w:rPr>
        <w:t>(Ban hành kèm theo Thông tư số 265/2016/TT-BTC ngày 14 </w:t>
      </w:r>
      <w:r w:rsidRPr="0011725C">
        <w:rPr>
          <w:i/>
          <w:iCs/>
          <w:noProof/>
          <w:color w:val="000000"/>
          <w:sz w:val="18"/>
          <w:szCs w:val="18"/>
          <w:shd w:val="clear" w:color="auto" w:fill="FFFFFF"/>
          <w:lang w:val="vi-VN"/>
        </w:rPr>
        <w:t>tháng</w:t>
      </w:r>
      <w:r w:rsidRPr="0011725C">
        <w:rPr>
          <w:i/>
          <w:iCs/>
          <w:noProof/>
          <w:color w:val="000000"/>
          <w:sz w:val="18"/>
          <w:szCs w:val="18"/>
          <w:lang w:val="vi-VN"/>
        </w:rPr>
        <w:t> 11 năm 2016 của Bộ trưởng Bộ </w:t>
      </w:r>
      <w:r w:rsidRPr="0011725C">
        <w:rPr>
          <w:i/>
          <w:iCs/>
          <w:noProof/>
          <w:color w:val="000000"/>
          <w:sz w:val="18"/>
          <w:szCs w:val="18"/>
          <w:shd w:val="clear" w:color="auto" w:fill="FFFFFF"/>
          <w:lang w:val="vi-VN"/>
        </w:rPr>
        <w:t>Tài chính</w:t>
      </w:r>
      <w:r w:rsidRPr="0011725C">
        <w:rPr>
          <w:i/>
          <w:iCs/>
          <w:noProof/>
          <w:color w:val="000000"/>
          <w:sz w:val="18"/>
          <w:szCs w:val="18"/>
          <w:lang w:val="vi-VN"/>
        </w:rPr>
        <w:t>)</w:t>
      </w:r>
    </w:p>
    <w:p w:rsidR="0011725C" w:rsidRPr="0011725C" w:rsidRDefault="0011725C" w:rsidP="0011725C">
      <w:pPr>
        <w:shd w:val="clear" w:color="auto" w:fill="FFFFFF"/>
        <w:spacing w:before="120" w:after="120" w:line="234" w:lineRule="atLeast"/>
        <w:rPr>
          <w:rFonts w:ascii="Times New Roman" w:eastAsia="Times New Roman" w:hAnsi="Times New Roman" w:cs="Times New Roman"/>
          <w:color w:val="000000"/>
          <w:sz w:val="18"/>
          <w:szCs w:val="18"/>
        </w:rPr>
      </w:pPr>
      <w:r w:rsidRPr="0011725C">
        <w:rPr>
          <w:rFonts w:ascii="Times New Roman" w:eastAsia="Times New Roman" w:hAnsi="Times New Roman" w:cs="Times New Roman"/>
          <w:b/>
          <w:bCs/>
          <w:color w:val="000000"/>
          <w:sz w:val="18"/>
          <w:szCs w:val="18"/>
        </w:rPr>
        <w:t>B. PHÍ SỬ DỤNG TẦN SỐ VÔ TUYẾN ĐIỆN</w:t>
      </w:r>
      <w:r w:rsidRPr="0011725C">
        <w:rPr>
          <w:rFonts w:ascii="Times New Roman" w:eastAsia="Times New Roman" w:hAnsi="Times New Roman" w:cs="Times New Roman"/>
          <w:b/>
          <w:bCs/>
          <w:color w:val="000000"/>
          <w:sz w:val="18"/>
          <w:szCs w:val="18"/>
        </w:rPr>
        <w:br/>
      </w:r>
      <w:r w:rsidRPr="0011725C">
        <w:rPr>
          <w:rFonts w:ascii="Times New Roman" w:eastAsia="Times New Roman" w:hAnsi="Times New Roman" w:cs="Times New Roman"/>
          <w:b/>
          <w:bCs/>
          <w:i/>
          <w:iCs/>
          <w:color w:val="000000"/>
          <w:sz w:val="18"/>
          <w:szCs w:val="18"/>
        </w:rPr>
        <w:t>(Khi cấp phép chính thức)</w:t>
      </w:r>
    </w:p>
    <w:tbl>
      <w:tblPr>
        <w:tblW w:w="9340" w:type="dxa"/>
        <w:tblCellSpacing w:w="0" w:type="dxa"/>
        <w:tblCellMar>
          <w:left w:w="0" w:type="dxa"/>
          <w:right w:w="0" w:type="dxa"/>
        </w:tblCellMar>
        <w:tblLook w:val="04A0" w:firstRow="1" w:lastRow="0" w:firstColumn="1" w:lastColumn="0" w:noHBand="0" w:noVBand="1"/>
      </w:tblPr>
      <w:tblGrid>
        <w:gridCol w:w="848"/>
        <w:gridCol w:w="5942"/>
        <w:gridCol w:w="1321"/>
        <w:gridCol w:w="1229"/>
      </w:tblGrid>
      <w:tr w:rsidR="0011725C" w:rsidRPr="0011725C" w:rsidTr="00C260A1">
        <w:trPr>
          <w:tblCellSpacing w:w="0" w:type="dxa"/>
        </w:trPr>
        <w:tc>
          <w:tcPr>
            <w:tcW w:w="454" w:type="pct"/>
            <w:tcBorders>
              <w:top w:val="single" w:sz="8" w:space="0" w:color="auto"/>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STT</w:t>
            </w:r>
          </w:p>
        </w:tc>
        <w:tc>
          <w:tcPr>
            <w:tcW w:w="3181" w:type="pct"/>
            <w:tcBorders>
              <w:top w:val="single" w:sz="8" w:space="0" w:color="auto"/>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Chỉ tiêu</w:t>
            </w:r>
          </w:p>
        </w:tc>
        <w:tc>
          <w:tcPr>
            <w:tcW w:w="1365" w:type="pct"/>
            <w:gridSpan w:val="2"/>
            <w:tcBorders>
              <w:top w:val="single" w:sz="8" w:space="0" w:color="auto"/>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Mức thu cho 12 tháng (1.000 đồng)</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I</w:t>
            </w:r>
          </w:p>
        </w:tc>
        <w:tc>
          <w:tcPr>
            <w:tcW w:w="4546" w:type="pct"/>
            <w:gridSpan w:val="3"/>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CỐ ĐỊNH</w:t>
            </w:r>
          </w:p>
        </w:tc>
      </w:tr>
      <w:tr w:rsidR="00C260A1" w:rsidRPr="0011725C" w:rsidTr="00C260A1">
        <w:trPr>
          <w:trHeight w:val="1217"/>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C260A1" w:rsidRPr="0011725C" w:rsidRDefault="00C260A1" w:rsidP="0011725C">
            <w:pPr>
              <w:spacing w:after="0" w:line="234" w:lineRule="atLeast"/>
              <w:jc w:val="center"/>
              <w:rPr>
                <w:rFonts w:ascii="Times New Roman" w:eastAsia="Times New Roman" w:hAnsi="Times New Roman" w:cs="Times New Roman"/>
                <w:sz w:val="24"/>
                <w:szCs w:val="24"/>
                <w:lang w:val="en-US"/>
              </w:rPr>
            </w:pPr>
            <w:bookmarkStart w:id="1" w:name="khoan_1_1" w:colFirst="0" w:colLast="1"/>
            <w:r>
              <w:rPr>
                <w:rFonts w:ascii="Times New Roman" w:eastAsia="Times New Roman" w:hAnsi="Times New Roman" w:cs="Times New Roman"/>
                <w:sz w:val="24"/>
                <w:szCs w:val="24"/>
                <w:lang w:val="en-US"/>
              </w:rPr>
              <w:t>1</w:t>
            </w:r>
          </w:p>
        </w:tc>
        <w:tc>
          <w:tcPr>
            <w:tcW w:w="3181" w:type="pct"/>
            <w:tcBorders>
              <w:top w:val="nil"/>
              <w:left w:val="nil"/>
              <w:right w:val="single" w:sz="8" w:space="0" w:color="auto"/>
            </w:tcBorders>
            <w:vAlign w:val="center"/>
            <w:hideMark/>
          </w:tcPr>
          <w:p w:rsidR="00C260A1" w:rsidRPr="0011725C" w:rsidRDefault="00C260A1" w:rsidP="0011725C">
            <w:pP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Tần số dưới 30 MHz: </w:t>
            </w:r>
            <w:r w:rsidRPr="0011725C">
              <w:rPr>
                <w:rFonts w:ascii="Times New Roman" w:eastAsia="Times New Roman" w:hAnsi="Times New Roman" w:cs="Times New Roman"/>
                <w:sz w:val="24"/>
                <w:szCs w:val="24"/>
              </w:rPr>
              <w:t>Tính trên mỗi tần số phát được ấn định cho 1 máy phát, tính theo băng tần và độ rộng băng tần chiếm dụng (BW)</w:t>
            </w:r>
          </w:p>
        </w:tc>
        <w:tc>
          <w:tcPr>
            <w:tcW w:w="1365" w:type="pct"/>
            <w:gridSpan w:val="2"/>
            <w:tcBorders>
              <w:top w:val="nil"/>
              <w:left w:val="nil"/>
              <w:right w:val="single" w:sz="8" w:space="0" w:color="auto"/>
            </w:tcBorders>
            <w:vAlign w:val="center"/>
            <w:hideMark/>
          </w:tcPr>
          <w:p w:rsidR="00C260A1" w:rsidRPr="0011725C" w:rsidRDefault="00C260A1" w:rsidP="0011725C">
            <w:pPr>
              <w:spacing w:after="0" w:line="240" w:lineRule="auto"/>
              <w:rPr>
                <w:rFonts w:ascii="Times New Roman" w:eastAsia="Times New Roman" w:hAnsi="Times New Roman" w:cs="Times New Roman"/>
                <w:sz w:val="24"/>
                <w:szCs w:val="24"/>
              </w:rPr>
            </w:pPr>
          </w:p>
        </w:tc>
      </w:tr>
      <w:bookmarkEnd w:id="1"/>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C260A1">
            <w:pPr>
              <w:spacing w:before="120" w:after="120" w:line="234" w:lineRule="atLeast"/>
              <w:rPr>
                <w:rFonts w:ascii="Times New Roman" w:eastAsia="Times New Roman" w:hAnsi="Times New Roman" w:cs="Times New Roman"/>
                <w:sz w:val="24"/>
                <w:szCs w:val="24"/>
                <w:lang w:val="en-US"/>
              </w:rPr>
            </w:pP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Tần số từ 30 MHz trở lên:</w:t>
            </w:r>
            <w:r w:rsidRPr="0011725C">
              <w:rPr>
                <w:rFonts w:ascii="Times New Roman" w:eastAsia="Times New Roman" w:hAnsi="Times New Roman" w:cs="Times New Roman"/>
                <w:sz w:val="24"/>
                <w:szCs w:val="24"/>
              </w:rPr>
              <w:t> Tính trên mỗi tần số phát được ấn định cho 1 máy phát, tính theo băng tần và độ rộng băng tần chiếm dụng)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từ 30 MHz đến 500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12,5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12,5 kHz &lt; BW ≤ 25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25 kHz &lt; BW ≤ 200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 kHz &lt; BW ≤ 500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 kHz &lt; BW ≤ 2.000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5.400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2.000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6.500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500 MHz đến 1.000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12,5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12,5 kHz&lt;BW≤ 25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25 kHz &lt; BW ≤ 200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1.600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 kHz &lt; BW ≤ 500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 kHz &lt; BW ≤ 2.000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2.000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6.000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2.3</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1 GHz đến 3 GHz: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3.500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3.500 kHz &lt; 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1.600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4.000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2.4</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3 GHz đến 8,5 GHz: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3.500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3.500 kHz &lt; 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1.300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1.500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BW&gt;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3.200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2.5</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8,5 GHz đến 15,35 GHz: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3.500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3.500 kHz &lt; 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1.300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28.000 kHz &lt; BW ≤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3.500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2.6</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15,35 GHz đến 23,6 GHz: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900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1.600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28.000 kHz &lt; BW ≤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2.700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2.7</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23,6 GHz: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900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28.000 kHz &lt; BW ≤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2.500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3</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Vi ba điểm-đa điểm, vi ba phát thanh, truyền hình lưu động:</w:t>
            </w:r>
            <w:r w:rsidRPr="0011725C">
              <w:rPr>
                <w:rFonts w:ascii="Times New Roman" w:eastAsia="Times New Roman" w:hAnsi="Times New Roman" w:cs="Times New Roman"/>
                <w:sz w:val="24"/>
                <w:szCs w:val="24"/>
              </w:rPr>
              <w:t> tính trên mỗi tần số được ấn định trên một trạm chính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từ 23,6 GHz trở xuống: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2.000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 kHz &lt; BW ≤ 3.500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4.400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3.500 kHz &lt; 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28.000 kHz &lt; BW ≤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18.000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23,6 GHz: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28.000 kHz &lt; BW ≤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8.200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4</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Điện thoại không dây loại kéo dài thuê bao, hệ thống điện thoại không dây đa điểm và các loại tương đương</w:t>
            </w:r>
          </w:p>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lastRenderedPageBreak/>
              <w:t>(tính trên mỗi trạm chính):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lastRenderedPageBreak/>
              <w:t>4.1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thiết bị sử dụng tần số cố định, tính trên mỗi tần số được ấn định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20% mức phí tương ứng quy định ở khoản 2 mục 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thiết bị lựa chọn tần số tự động, tính trên cả đoạn băng tần hoạt động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5% mức phí tương ứng quy định ở khoản 2 mục 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II</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DI ĐỘNG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di động hàng hải</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Đài bờ: tính trên mỗi tần số phát được ấn định cho 1 máy phát</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Cung cấp dịch vụ viễn thông công cộng: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Sử dụng tần số thuộc băng tần MF/HF</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Sử dụng tần số thuộc băng tần VHF</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2.500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Sử dụng tần số theo quy hoạch để liên lạc với phương tiện nghề cá</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1.500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Không cung cấp dịch vụ viễn thông công cộng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30% mức phí tương ứng quy định ở điểm 1.1.1 khoản 1 mục II này</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Đài tàu (tính trên 01 đài tàu và theo từng chủng loại thiết bị vô tuyến điện trang bị trên tàu):</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Thiết bị VHF;</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Thiết bị MF/HF;</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1.500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Thiết bị Inmarsat;</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Thiết bị dẫn đường hàng hải;</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Thiết bị khác ngoài các thiết bị trên (trừ thiết bị chỉ dùng cho mục đích phục vụ cấp cứu, cứu nạn; thiết bị chỉ thu)</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di động hàng không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lastRenderedPageBreak/>
              <w:t>2.1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Đài mặt đất thuộc nghiệp vụ di động hàng không (tính trên mỗi tần số phát được ấn định cho 1 máy phát)</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Đài máy bay (tính trên 01 máy bay)</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2.2.1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máy bay hành khách: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Dưới 38 chỗ</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2.400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Từ 38 đến 100 chỗ</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Trên 100 chỗ</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4.200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2.2.2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máy bay vận tải:</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Trọng tải dưới 20 tấn</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2.400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Trọng tải từ 20 đến 80 tấn</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Trọng tải trên 80 tấn</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4.200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2.2.3</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máy bay không theo tuyến cố định: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3</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di động mặt đất</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34" w:lineRule="atLeast"/>
              <w:jc w:val="center"/>
              <w:rPr>
                <w:rFonts w:ascii="Times New Roman" w:eastAsia="Times New Roman" w:hAnsi="Times New Roman" w:cs="Times New Roman"/>
                <w:sz w:val="24"/>
                <w:szCs w:val="24"/>
                <w:lang w:val="en-US"/>
              </w:rPr>
            </w:pPr>
            <w:bookmarkStart w:id="2" w:name="diem_3_1" w:colFirst="0" w:colLast="1"/>
            <w:r>
              <w:rPr>
                <w:rFonts w:ascii="Times New Roman" w:eastAsia="Times New Roman" w:hAnsi="Times New Roman" w:cs="Times New Roman"/>
                <w:sz w:val="24"/>
                <w:szCs w:val="24"/>
                <w:lang w:val="en-US"/>
              </w:rPr>
              <w:t>3.1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after="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Mạng viễn thông di động mặt đất nhắn tin dùng riêng (tính trên tần số phát được ấn định trên 1 máy phát, theo phạm vi hoạt động):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bookmarkEnd w:id="2"/>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Trong một tỉnh, thành phố trực thuộc Trung ương.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Trong một khu nhà hoặc tương đương.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Default="0011725C" w:rsidP="0011725C">
            <w:pPr>
              <w:spacing w:after="0" w:line="234" w:lineRule="atLeast"/>
              <w:jc w:val="center"/>
              <w:rPr>
                <w:rFonts w:ascii="Times New Roman" w:eastAsia="Times New Roman" w:hAnsi="Times New Roman" w:cs="Times New Roman"/>
                <w:color w:val="000000"/>
                <w:sz w:val="24"/>
                <w:szCs w:val="24"/>
                <w:shd w:val="clear" w:color="auto" w:fill="FFFF96"/>
                <w:lang w:val="en-US"/>
              </w:rPr>
            </w:pPr>
            <w:bookmarkStart w:id="3" w:name="diem_3_2" w:colFirst="0" w:colLast="1"/>
            <w:r>
              <w:rPr>
                <w:rFonts w:ascii="Times New Roman" w:eastAsia="Times New Roman" w:hAnsi="Times New Roman" w:cs="Times New Roman"/>
                <w:sz w:val="24"/>
                <w:szCs w:val="24"/>
                <w:lang w:val="en-US"/>
              </w:rPr>
              <w:t>3.2</w:t>
            </w:r>
          </w:p>
          <w:p w:rsidR="0011725C" w:rsidRPr="0011725C" w:rsidRDefault="0011725C" w:rsidP="0011725C">
            <w:pPr>
              <w:spacing w:after="0" w:line="234" w:lineRule="atLeast"/>
              <w:rPr>
                <w:rFonts w:ascii="Times New Roman" w:eastAsia="Times New Roman" w:hAnsi="Times New Roman" w:cs="Times New Roman"/>
                <w:sz w:val="24"/>
                <w:szCs w:val="24"/>
                <w:lang w:val="en-US"/>
              </w:rPr>
            </w:pPr>
          </w:p>
        </w:tc>
        <w:tc>
          <w:tcPr>
            <w:tcW w:w="3181" w:type="pct"/>
            <w:tcBorders>
              <w:top w:val="nil"/>
              <w:left w:val="nil"/>
              <w:bottom w:val="single" w:sz="8" w:space="0" w:color="auto"/>
              <w:right w:val="single" w:sz="8" w:space="0" w:color="auto"/>
            </w:tcBorders>
            <w:vAlign w:val="center"/>
            <w:hideMark/>
          </w:tcPr>
          <w:p w:rsidR="0011725C" w:rsidRPr="0011725C" w:rsidRDefault="00C260A1" w:rsidP="0011725C">
            <w:pPr>
              <w:spacing w:after="0" w:line="234" w:lineRule="atLeast"/>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Mạng viễn thông dùng riêng sử dụng tần số thuộc nghiệp vụ di động (bao gồm cả mạng thông tin vô tuyến điện nội bộ), mạng viễn thông di động mặt đất trung kế: Tính trên mỗi tần số được ấn định để sử dụng trong mạng và theo từng tỉnh, thành phố trực thuộc Trung ương hoặc theo phạm vi hoạt động: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bookmarkEnd w:id="3"/>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3.2.1</w:t>
            </w:r>
          </w:p>
        </w:tc>
        <w:tc>
          <w:tcPr>
            <w:tcW w:w="3181" w:type="pct"/>
            <w:tcBorders>
              <w:top w:val="nil"/>
              <w:left w:val="nil"/>
              <w:bottom w:val="single" w:sz="8" w:space="0" w:color="auto"/>
              <w:right w:val="single" w:sz="8" w:space="0" w:color="auto"/>
            </w:tcBorders>
            <w:vAlign w:val="center"/>
            <w:hideMark/>
          </w:tcPr>
          <w:p w:rsidR="0011725C" w:rsidRPr="0011725C" w:rsidRDefault="00C260A1" w:rsidP="00C260A1">
            <w:pPr>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Độ rộng băng tần chiếm dụng của kênh t</w:t>
            </w:r>
            <w:r>
              <w:rPr>
                <w:rFonts w:ascii="Times New Roman" w:eastAsia="Times New Roman" w:hAnsi="Times New Roman" w:cs="Times New Roman"/>
                <w:sz w:val="24"/>
                <w:szCs w:val="24"/>
              </w:rPr>
              <w:t>ần số được ấn định là 12,5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C260A1" w:rsidP="00C260A1">
            <w:pPr>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 Thành phố Hà Nội, Thành phố Hồ Chí Min</w:t>
            </w:r>
            <w:r>
              <w:rPr>
                <w:rFonts w:ascii="Times New Roman" w:eastAsia="Times New Roman" w:hAnsi="Times New Roman" w:cs="Times New Roman"/>
                <w:sz w:val="24"/>
                <w:szCs w:val="24"/>
              </w:rPr>
              <w:t>h, Đà Nẵng, Hải Phòng, Cần Thơ.</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 Các tỉnh khác.</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lastRenderedPageBreak/>
              <w:t>3.2.2</w:t>
            </w:r>
          </w:p>
        </w:tc>
        <w:tc>
          <w:tcPr>
            <w:tcW w:w="3181" w:type="pct"/>
            <w:tcBorders>
              <w:top w:val="nil"/>
              <w:left w:val="nil"/>
              <w:bottom w:val="single" w:sz="8" w:space="0" w:color="auto"/>
              <w:right w:val="single" w:sz="8" w:space="0" w:color="auto"/>
            </w:tcBorders>
            <w:vAlign w:val="center"/>
            <w:hideMark/>
          </w:tcPr>
          <w:p w:rsidR="0011725C" w:rsidRPr="0011725C" w:rsidRDefault="00C260A1" w:rsidP="00C260A1">
            <w:pPr>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 xml:space="preserve">Độ rộng băng tần chiếm dụng của kênh tần số được ấn định </w:t>
            </w:r>
            <w:r>
              <w:rPr>
                <w:rFonts w:ascii="Times New Roman" w:eastAsia="Times New Roman" w:hAnsi="Times New Roman" w:cs="Times New Roman"/>
                <w:sz w:val="24"/>
                <w:szCs w:val="24"/>
              </w:rPr>
              <w:t>bằng n x 12,5 kHz, n = 2,3,4...</w:t>
            </w:r>
          </w:p>
        </w:tc>
        <w:tc>
          <w:tcPr>
            <w:tcW w:w="1365" w:type="pct"/>
            <w:gridSpan w:val="2"/>
            <w:tcBorders>
              <w:top w:val="nil"/>
              <w:left w:val="nil"/>
              <w:bottom w:val="single" w:sz="8" w:space="0" w:color="auto"/>
              <w:right w:val="single" w:sz="8" w:space="0" w:color="auto"/>
            </w:tcBorders>
            <w:vAlign w:val="center"/>
            <w:hideMark/>
          </w:tcPr>
          <w:p w:rsidR="0011725C" w:rsidRPr="0011725C" w:rsidRDefault="00C260A1" w:rsidP="00C260A1">
            <w:pPr>
              <w:jc w:val="center"/>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Bằng n x Mức phí tương ứng tạ</w:t>
            </w:r>
            <w:r>
              <w:rPr>
                <w:rFonts w:ascii="Times New Roman" w:eastAsia="Times New Roman" w:hAnsi="Times New Roman" w:cs="Times New Roman"/>
                <w:sz w:val="24"/>
                <w:szCs w:val="24"/>
              </w:rPr>
              <w:t>i điểm 3.2.1 khoản 3 Mục II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3.2.3</w:t>
            </w:r>
          </w:p>
        </w:tc>
        <w:tc>
          <w:tcPr>
            <w:tcW w:w="3181" w:type="pct"/>
            <w:tcBorders>
              <w:top w:val="nil"/>
              <w:left w:val="nil"/>
              <w:bottom w:val="single" w:sz="8" w:space="0" w:color="auto"/>
              <w:right w:val="single" w:sz="8" w:space="0" w:color="auto"/>
            </w:tcBorders>
            <w:vAlign w:val="center"/>
            <w:hideMark/>
          </w:tcPr>
          <w:p w:rsidR="0011725C" w:rsidRPr="0011725C" w:rsidRDefault="00C260A1" w:rsidP="00C260A1">
            <w:pPr>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 xml:space="preserve">Độ rộng băng tần chiếm dụng của kênh </w:t>
            </w:r>
            <w:r>
              <w:rPr>
                <w:rFonts w:ascii="Times New Roman" w:eastAsia="Times New Roman" w:hAnsi="Times New Roman" w:cs="Times New Roman"/>
                <w:sz w:val="24"/>
                <w:szCs w:val="24"/>
              </w:rPr>
              <w:t>tần số được ấn định là 6,25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C260A1" w:rsidP="0011725C">
            <w:pPr>
              <w:spacing w:before="120" w:after="120" w:line="234" w:lineRule="atLeast"/>
              <w:jc w:val="center"/>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Bằng 50% mức phí tương ứng tại điểm 3.2.1 khoản 3 mục II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3.2.4</w:t>
            </w:r>
          </w:p>
        </w:tc>
        <w:tc>
          <w:tcPr>
            <w:tcW w:w="3181" w:type="pct"/>
            <w:tcBorders>
              <w:top w:val="nil"/>
              <w:left w:val="nil"/>
              <w:bottom w:val="single" w:sz="8" w:space="0" w:color="auto"/>
              <w:right w:val="single" w:sz="8" w:space="0" w:color="auto"/>
            </w:tcBorders>
            <w:vAlign w:val="center"/>
            <w:hideMark/>
          </w:tcPr>
          <w:p w:rsidR="0011725C" w:rsidRPr="0011725C" w:rsidRDefault="00C260A1" w:rsidP="0011725C">
            <w:pPr>
              <w:spacing w:before="120" w:after="120" w:line="234" w:lineRule="atLeast"/>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Mạng thông tin vô tuyến điện nội bộ gồm các thiết bị có công suất phát P ≤ 5w; Mạng dùng chung tần số.</w:t>
            </w:r>
          </w:p>
        </w:tc>
        <w:tc>
          <w:tcPr>
            <w:tcW w:w="1365" w:type="pct"/>
            <w:gridSpan w:val="2"/>
            <w:tcBorders>
              <w:top w:val="nil"/>
              <w:left w:val="nil"/>
              <w:bottom w:val="single" w:sz="8" w:space="0" w:color="auto"/>
              <w:right w:val="single" w:sz="8" w:space="0" w:color="auto"/>
            </w:tcBorders>
            <w:vAlign w:val="center"/>
            <w:hideMark/>
          </w:tcPr>
          <w:p w:rsidR="0011725C" w:rsidRPr="0011725C" w:rsidRDefault="00C260A1" w:rsidP="0011725C">
            <w:pPr>
              <w:spacing w:before="120" w:after="120" w:line="234" w:lineRule="atLeast"/>
              <w:jc w:val="center"/>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Bằng 10% mức phí tương ứng tại các điểm 3.2.1, 3.2.2, 3.2.3 khoản 3 mục II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C260A1" w:rsidP="0011725C">
            <w:pPr>
              <w:spacing w:after="0" w:line="234" w:lineRule="atLeast"/>
              <w:jc w:val="center"/>
              <w:rPr>
                <w:rFonts w:ascii="Times New Roman" w:eastAsia="Times New Roman" w:hAnsi="Times New Roman" w:cs="Times New Roman"/>
                <w:sz w:val="24"/>
                <w:szCs w:val="24"/>
              </w:rPr>
            </w:pPr>
            <w:bookmarkStart w:id="4" w:name="khoan_3_3" w:colFirst="0" w:colLast="1"/>
            <w:r>
              <w:rPr>
                <w:rFonts w:ascii="Times New Roman" w:eastAsia="Times New Roman" w:hAnsi="Times New Roman" w:cs="Times New Roman"/>
                <w:sz w:val="24"/>
                <w:szCs w:val="24"/>
              </w:rPr>
              <w:t>3.3</w:t>
            </w:r>
          </w:p>
        </w:tc>
        <w:tc>
          <w:tcPr>
            <w:tcW w:w="3181" w:type="pct"/>
            <w:tcBorders>
              <w:top w:val="nil"/>
              <w:left w:val="nil"/>
              <w:bottom w:val="single" w:sz="8" w:space="0" w:color="auto"/>
              <w:right w:val="single" w:sz="8" w:space="0" w:color="auto"/>
            </w:tcBorders>
            <w:vAlign w:val="center"/>
            <w:hideMark/>
          </w:tcPr>
          <w:p w:rsidR="0011725C" w:rsidRPr="0011725C" w:rsidRDefault="00C260A1" w:rsidP="0011725C">
            <w:pPr>
              <w:spacing w:after="0" w:line="234" w:lineRule="atLeast"/>
              <w:rPr>
                <w:rFonts w:ascii="Times New Roman" w:eastAsia="Times New Roman" w:hAnsi="Times New Roman" w:cs="Times New Roman"/>
                <w:sz w:val="24"/>
                <w:szCs w:val="24"/>
                <w:lang w:val="en-US"/>
              </w:rPr>
            </w:pPr>
            <w:r w:rsidRPr="00C260A1">
              <w:rPr>
                <w:rFonts w:ascii="Times New Roman" w:eastAsia="Times New Roman" w:hAnsi="Times New Roman" w:cs="Times New Roman"/>
                <w:sz w:val="24"/>
                <w:szCs w:val="24"/>
                <w:lang w:val="en-US"/>
              </w:rPr>
              <w:t>Mạng viễn thông di động mặt đất công cộng sử dụng băng tần số (tính trên mỗi MHz của băng tần được cấp, trên phạm vi toàn quốc).</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bookmarkEnd w:id="4"/>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3.3.1</w:t>
            </w:r>
          </w:p>
        </w:tc>
        <w:tc>
          <w:tcPr>
            <w:tcW w:w="3181" w:type="pct"/>
            <w:tcBorders>
              <w:top w:val="nil"/>
              <w:left w:val="nil"/>
              <w:bottom w:val="single" w:sz="8" w:space="0" w:color="auto"/>
              <w:right w:val="single" w:sz="8" w:space="0" w:color="auto"/>
            </w:tcBorders>
            <w:vAlign w:val="center"/>
            <w:hideMark/>
          </w:tcPr>
          <w:p w:rsidR="0011725C" w:rsidRPr="0011725C" w:rsidRDefault="00C260A1" w:rsidP="00C260A1">
            <w:pPr>
              <w:rPr>
                <w:rFonts w:ascii="Times New Roman" w:eastAsia="Times New Roman" w:hAnsi="Times New Roman" w:cs="Times New Roman"/>
                <w:sz w:val="24"/>
                <w:szCs w:val="24"/>
              </w:rPr>
            </w:pPr>
            <w:r>
              <w:rPr>
                <w:rFonts w:ascii="Times New Roman" w:eastAsia="Times New Roman" w:hAnsi="Times New Roman" w:cs="Times New Roman"/>
                <w:sz w:val="24"/>
                <w:szCs w:val="24"/>
              </w:rPr>
              <w:t>Băng tần ≤ 2.200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1.300.000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3.3.2</w:t>
            </w:r>
          </w:p>
        </w:tc>
        <w:tc>
          <w:tcPr>
            <w:tcW w:w="3181" w:type="pct"/>
            <w:tcBorders>
              <w:top w:val="nil"/>
              <w:left w:val="nil"/>
              <w:bottom w:val="single" w:sz="8" w:space="0" w:color="auto"/>
              <w:right w:val="single" w:sz="8" w:space="0" w:color="auto"/>
            </w:tcBorders>
            <w:vAlign w:val="center"/>
            <w:hideMark/>
          </w:tcPr>
          <w:p w:rsidR="00C260A1" w:rsidRPr="0011725C" w:rsidRDefault="00C260A1" w:rsidP="0011725C">
            <w:pPr>
              <w:spacing w:before="120" w:after="120" w:line="234" w:lineRule="atLeast"/>
              <w:rPr>
                <w:rFonts w:ascii="Times New Roman" w:eastAsia="Times New Roman" w:hAnsi="Times New Roman" w:cs="Times New Roman"/>
                <w:sz w:val="24"/>
                <w:szCs w:val="24"/>
              </w:rPr>
            </w:pPr>
            <w:r w:rsidRPr="00C260A1">
              <w:rPr>
                <w:rFonts w:ascii="Times New Roman" w:eastAsia="Times New Roman" w:hAnsi="Times New Roman" w:cs="Times New Roman"/>
                <w:sz w:val="24"/>
                <w:szCs w:val="24"/>
              </w:rPr>
              <w:t>2.200 MHz &lt; Băng tần ≤ 24.000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650.000</w:t>
            </w:r>
          </w:p>
        </w:tc>
      </w:tr>
      <w:tr w:rsidR="00C260A1"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tcPr>
          <w:p w:rsidR="00C260A1" w:rsidRPr="0011725C" w:rsidRDefault="00C260A1" w:rsidP="0011725C">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3181" w:type="pct"/>
            <w:tcBorders>
              <w:top w:val="nil"/>
              <w:left w:val="nil"/>
              <w:bottom w:val="single" w:sz="8" w:space="0" w:color="auto"/>
              <w:right w:val="single" w:sz="8" w:space="0" w:color="auto"/>
            </w:tcBorders>
            <w:vAlign w:val="center"/>
          </w:tcPr>
          <w:p w:rsidR="00C260A1" w:rsidRPr="00C260A1" w:rsidRDefault="00605742" w:rsidP="00605742">
            <w:pPr>
              <w:rPr>
                <w:rFonts w:ascii="Times New Roman" w:eastAsia="Times New Roman" w:hAnsi="Times New Roman" w:cs="Times New Roman"/>
                <w:sz w:val="24"/>
                <w:szCs w:val="24"/>
              </w:rPr>
            </w:pPr>
            <w:r>
              <w:rPr>
                <w:rFonts w:ascii="Times New Roman" w:eastAsia="Times New Roman" w:hAnsi="Times New Roman" w:cs="Times New Roman"/>
                <w:sz w:val="24"/>
                <w:szCs w:val="24"/>
              </w:rPr>
              <w:t>Băng tần &gt; 24.000 MHz</w:t>
            </w:r>
          </w:p>
        </w:tc>
        <w:tc>
          <w:tcPr>
            <w:tcW w:w="1365" w:type="pct"/>
            <w:gridSpan w:val="2"/>
            <w:tcBorders>
              <w:top w:val="nil"/>
              <w:left w:val="nil"/>
              <w:bottom w:val="single" w:sz="8" w:space="0" w:color="auto"/>
              <w:right w:val="single" w:sz="8" w:space="0" w:color="auto"/>
            </w:tcBorders>
            <w:vAlign w:val="center"/>
          </w:tcPr>
          <w:p w:rsidR="00C260A1" w:rsidRPr="0011725C" w:rsidRDefault="00605742" w:rsidP="006057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4</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vô tuyến điện khác</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Đài di động đặt trên tàu sử dụng tần số thuộc nghiệp vụ di động (tính trên mỗi tần số phát được ấn định cho 1 máy phát)</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Đài vô tuyến điện liên lạc với phương tiện nghề cá (tính trên mỗi tần số phát được ấn định cho 1 máy phát)</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III</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QUẢNG BÁ</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Truyền hình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605742" w:rsidRDefault="00605742" w:rsidP="0011725C">
            <w:pPr>
              <w:spacing w:after="0" w:line="234" w:lineRule="atLeast"/>
              <w:jc w:val="center"/>
              <w:rPr>
                <w:rFonts w:ascii="Times New Roman" w:eastAsia="Times New Roman" w:hAnsi="Times New Roman" w:cs="Times New Roman"/>
                <w:sz w:val="24"/>
                <w:szCs w:val="24"/>
                <w:lang w:val="en-US"/>
              </w:rPr>
            </w:pPr>
            <w:bookmarkStart w:id="5" w:name="khoan_1_1_3" w:colFirst="0" w:colLast="1"/>
            <w:r>
              <w:rPr>
                <w:rFonts w:ascii="Times New Roman" w:eastAsia="Times New Roman" w:hAnsi="Times New Roman" w:cs="Times New Roman"/>
                <w:sz w:val="24"/>
                <w:szCs w:val="24"/>
                <w:lang w:val="en-US"/>
              </w:rPr>
              <w:t>1.1</w:t>
            </w:r>
          </w:p>
        </w:tc>
        <w:tc>
          <w:tcPr>
            <w:tcW w:w="3181" w:type="pct"/>
            <w:tcBorders>
              <w:top w:val="nil"/>
              <w:left w:val="nil"/>
              <w:bottom w:val="single" w:sz="8" w:space="0" w:color="auto"/>
              <w:right w:val="single" w:sz="8" w:space="0" w:color="auto"/>
            </w:tcBorders>
            <w:vAlign w:val="center"/>
            <w:hideMark/>
          </w:tcPr>
          <w:p w:rsidR="00605742" w:rsidRPr="00605742" w:rsidRDefault="00605742" w:rsidP="00605742">
            <w:pPr>
              <w:spacing w:after="0" w:line="234" w:lineRule="atLeast"/>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Mạng đa tần: Máy phát hình của các đơn vị truyền dẫn, phát sóng toàn quốc phục vụ nhiệm vụ chính trị, thông tin tuyên truyền thiết yếu (phát sóng ít nhất một kênh chương trình thiết yếu), tính trên mỗi kênh tần số được ấn định theo mức công suất phát và vị trí đặt máy phát.</w:t>
            </w:r>
          </w:p>
          <w:p w:rsidR="00605742" w:rsidRPr="00605742" w:rsidRDefault="00605742" w:rsidP="00605742">
            <w:pPr>
              <w:spacing w:after="0" w:line="234" w:lineRule="atLeast"/>
              <w:rPr>
                <w:rFonts w:ascii="Times New Roman" w:eastAsia="Times New Roman" w:hAnsi="Times New Roman" w:cs="Times New Roman"/>
                <w:sz w:val="24"/>
                <w:szCs w:val="24"/>
              </w:rPr>
            </w:pPr>
          </w:p>
          <w:p w:rsidR="0011725C" w:rsidRPr="0011725C" w:rsidRDefault="00605742" w:rsidP="00605742">
            <w:pPr>
              <w:spacing w:after="0" w:line="234" w:lineRule="atLeast"/>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Mức phí quy định tại điểm 1.1 này chỉ áp dụng cho một kênh tần số tại một điểm phát sóng; đối với các kênh tần số còn lại, áp dụng mức phí quy định tại điểm 1.3 khoản 1 Mục III này.</w:t>
            </w:r>
          </w:p>
        </w:tc>
        <w:tc>
          <w:tcPr>
            <w:tcW w:w="707" w:type="pct"/>
            <w:tcBorders>
              <w:top w:val="nil"/>
              <w:left w:val="nil"/>
              <w:bottom w:val="single" w:sz="8" w:space="0" w:color="auto"/>
              <w:right w:val="single" w:sz="8" w:space="0" w:color="auto"/>
            </w:tcBorders>
            <w:vAlign w:val="center"/>
            <w:hideMark/>
          </w:tcPr>
          <w:p w:rsidR="00605742" w:rsidRPr="00605742" w:rsidRDefault="00605742" w:rsidP="00605742">
            <w:pP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Hà Nội, Hồ Chí Minh, Hải Phòng, Đà Nẵng, Cần Thơ</w:t>
            </w:r>
          </w:p>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Các tỉnh, thành phố khác</w:t>
            </w:r>
          </w:p>
        </w:tc>
      </w:tr>
      <w:bookmarkEnd w:id="5"/>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1.1.1</w:t>
            </w: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Đối với phân kênh là 8 MHz</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0"/>
                <w:szCs w:val="20"/>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605742">
            <w:pPr>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P &gt; 20 kW</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24.000</w:t>
            </w: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18.000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10 kW &lt; P ≤ 20 kW</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20.000</w:t>
            </w: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5 kW &lt; P ≤ 10 kW</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16.000</w:t>
            </w: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2 kW &lt; P ≤ 5 kW</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12.000</w:t>
            </w: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9.000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500 W &lt; P ≤ 2 kW</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4.000</w:t>
            </w: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1.500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100 W &lt; P ≤ 500 W</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w:t>
            </w: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P ≤ 100 W</w:t>
            </w:r>
          </w:p>
        </w:tc>
        <w:tc>
          <w:tcPr>
            <w:tcW w:w="707"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w:t>
            </w:r>
          </w:p>
        </w:tc>
        <w:tc>
          <w:tcPr>
            <w:tcW w:w="658"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1.1.2</w:t>
            </w:r>
          </w:p>
        </w:tc>
        <w:tc>
          <w:tcPr>
            <w:tcW w:w="3181" w:type="pct"/>
            <w:tcBorders>
              <w:top w:val="nil"/>
              <w:left w:val="nil"/>
              <w:bottom w:val="single" w:sz="8" w:space="0" w:color="auto"/>
              <w:right w:val="single" w:sz="8" w:space="0" w:color="auto"/>
            </w:tcBorders>
            <w:vAlign w:val="center"/>
            <w:hideMark/>
          </w:tcPr>
          <w:p w:rsidR="0011725C" w:rsidRPr="0011725C" w:rsidRDefault="00605742" w:rsidP="00605742">
            <w:pP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Đối với</w:t>
            </w:r>
            <w:r>
              <w:rPr>
                <w:rFonts w:ascii="Times New Roman" w:eastAsia="Times New Roman" w:hAnsi="Times New Roman" w:cs="Times New Roman"/>
                <w:sz w:val="24"/>
                <w:szCs w:val="24"/>
              </w:rPr>
              <w:t xml:space="preserve"> phân kênh ΔB MHz nhỏ hơn 8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605742" w:rsidP="00605742">
            <w:pP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Bằng (ΔB/8) x Mức phí tương ứng tại</w:t>
            </w:r>
            <w:r>
              <w:rPr>
                <w:rFonts w:ascii="Times New Roman" w:eastAsia="Times New Roman" w:hAnsi="Times New Roman" w:cs="Times New Roman"/>
                <w:sz w:val="24"/>
                <w:szCs w:val="24"/>
              </w:rPr>
              <w:t xml:space="preserve"> điểm 1.1.1 khoản 1 Mục III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605742" w:rsidP="0011725C">
            <w:pPr>
              <w:spacing w:after="0" w:line="234" w:lineRule="atLeast"/>
              <w:jc w:val="center"/>
              <w:rPr>
                <w:rFonts w:ascii="Times New Roman" w:eastAsia="Times New Roman" w:hAnsi="Times New Roman" w:cs="Times New Roman"/>
                <w:sz w:val="24"/>
                <w:szCs w:val="24"/>
              </w:rPr>
            </w:pPr>
            <w:bookmarkStart w:id="6" w:name="khoan_2_1_3" w:colFirst="0" w:colLast="1"/>
            <w:r>
              <w:rPr>
                <w:rFonts w:ascii="Times New Roman" w:eastAsia="Times New Roman" w:hAnsi="Times New Roman" w:cs="Times New Roman"/>
                <w:sz w:val="24"/>
                <w:szCs w:val="24"/>
              </w:rPr>
              <w:t>1.2</w:t>
            </w: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after="0" w:line="234" w:lineRule="atLeast"/>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Mạng đa tần: Máy phát hình của các đơn vị truyền dẫn, phát sóng khu vực phát sóng kênh chương trình phục vụ nhiệm vụ chính trị, thông tin tuyên truyền thiết yếu (phát sóng ít nhất một kênh chương trình thiết yếu) tính trên mỗi kênh tần số được ấn định theo mức công suất phát và vị trí đặt máy phát. Mức phí quy định tại điểm 1.2 này chỉ áp dụng cho một kênh tần số tại một điểm phát sóng; đối với các kênh tần số còn lại, áp dụng mức phí quy định tại điểm 1.3 khoản 1 Mục III này.</w:t>
            </w:r>
          </w:p>
        </w:tc>
        <w:tc>
          <w:tcPr>
            <w:tcW w:w="1365" w:type="pct"/>
            <w:gridSpan w:val="2"/>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Bằng 50% mức phí tương ứng tại điểm 1.1 khoản 1 Mục III này</w:t>
            </w:r>
          </w:p>
        </w:tc>
      </w:tr>
      <w:bookmarkEnd w:id="6"/>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1.3</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Mạng đa tần: Máy phát hình, phát sóng kênh chương trình khác, không phải kênh chương trình phục vụ nhiệm vụ chính trị, thông tin tuyên truyền thiết yếu</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300% mức phí tương ứng tại điểm 1.1 khoản 1 mục III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Mạng đơn tần</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70% mức phí tương ứng tại các điểm 1.1, 1.2, 1.3 khoản 1 mục III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Phát thanh, truyền thanh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Phát thanh: tính trên mỗi kênh tần số được ấn định, theo các mức công suất phát (P):</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P &gt; 5 kW</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 kW &lt; P ≤ 5 kW</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 kW &lt; P ≤ 2 kW</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 W &lt; P ≤ 1 kW</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P ≤ 300 W</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2.2</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Đài truyền thanh không dây của tổ chức, doanh nghiệp (tính trên mỗi kênh tần số được ấn định)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1.500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IV</w:t>
            </w:r>
          </w:p>
        </w:tc>
        <w:tc>
          <w:tcPr>
            <w:tcW w:w="4546" w:type="pct"/>
            <w:gridSpan w:val="3"/>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CỐ ĐỊNH QUA VỆ TINH, DI ĐỘNG QUA VỆ TINH</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Đài vệ tinh trái đất</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605742" w:rsidP="0011725C">
            <w:pPr>
              <w:spacing w:after="0" w:line="234" w:lineRule="atLeast"/>
              <w:jc w:val="center"/>
              <w:rPr>
                <w:rFonts w:ascii="Times New Roman" w:eastAsia="Times New Roman" w:hAnsi="Times New Roman" w:cs="Times New Roman"/>
                <w:sz w:val="24"/>
                <w:szCs w:val="24"/>
              </w:rPr>
            </w:pPr>
            <w:bookmarkStart w:id="7" w:name="khoan_1_1_4" w:colFirst="0" w:colLast="1"/>
            <w:r>
              <w:rPr>
                <w:rFonts w:ascii="Times New Roman" w:eastAsia="Times New Roman" w:hAnsi="Times New Roman" w:cs="Times New Roman"/>
                <w:sz w:val="24"/>
                <w:szCs w:val="24"/>
              </w:rPr>
              <w:t>1.1</w:t>
            </w:r>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after="0" w:line="234" w:lineRule="atLeast"/>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Đài vệ tinh trái đất: Tính trên mỗi tần số phát được ấn định cho 1 máy phát và độ rộng băng tần phát chiếm dụng (BW), trừ các điểm 1.2, 1.3, 1.4 khoản 1 Mục IV này.</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bookmarkEnd w:id="7"/>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6057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 ≤ 150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605742" w:rsidRDefault="00605742" w:rsidP="0060574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150 kHz &lt; BW ≤ 2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605742">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2 MHz &lt; BW ≤ 18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6057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MHz &lt; BW ≤ 36MHz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50.000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605742" w:rsidP="00605742">
            <w:pPr>
              <w:spacing w:before="120" w:after="120" w:line="234" w:lineRule="atLeast"/>
              <w:jc w:val="center"/>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BW &gt; 36 MHz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60.000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605742" w:rsidP="0011725C">
            <w:pPr>
              <w:spacing w:after="0" w:line="234" w:lineRule="atLeast"/>
              <w:jc w:val="center"/>
              <w:rPr>
                <w:rFonts w:ascii="Times New Roman" w:eastAsia="Times New Roman" w:hAnsi="Times New Roman" w:cs="Times New Roman"/>
                <w:sz w:val="24"/>
                <w:szCs w:val="24"/>
              </w:rPr>
            </w:pPr>
            <w:bookmarkStart w:id="8" w:name="khoan_2_1_4" w:colFirst="0" w:colLast="1"/>
            <w:r>
              <w:rPr>
                <w:rFonts w:ascii="Times New Roman" w:eastAsia="Times New Roman" w:hAnsi="Times New Roman" w:cs="Times New Roman"/>
                <w:sz w:val="24"/>
                <w:szCs w:val="24"/>
              </w:rPr>
              <w:t>1.2</w:t>
            </w:r>
          </w:p>
        </w:tc>
        <w:tc>
          <w:tcPr>
            <w:tcW w:w="3181" w:type="pct"/>
            <w:tcBorders>
              <w:top w:val="nil"/>
              <w:left w:val="nil"/>
              <w:bottom w:val="single" w:sz="8" w:space="0" w:color="auto"/>
              <w:right w:val="single" w:sz="8" w:space="0" w:color="auto"/>
            </w:tcBorders>
            <w:vAlign w:val="center"/>
            <w:hideMark/>
          </w:tcPr>
          <w:p w:rsidR="00605742" w:rsidRPr="00605742" w:rsidRDefault="00605742" w:rsidP="00605742">
            <w:pPr>
              <w:spacing w:after="0" w:line="234" w:lineRule="atLeast"/>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ab/>
            </w:r>
          </w:p>
          <w:p w:rsidR="0011725C" w:rsidRPr="0011725C" w:rsidRDefault="00605742" w:rsidP="00605742">
            <w:pPr>
              <w:spacing w:after="0" w:line="234" w:lineRule="atLeast"/>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Đối với các thiết bị đầu cuối cố định sử dụng chung dải tần đường lên vệ tinh, có độ rộng băng tần phát thay đổi theo nhu cầu sử dụng, thuộc hệ thống đa truy cập qua vệ tinh: mức phí tính cho mỗi thiết bị đầu cuối.</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w:t>
            </w:r>
          </w:p>
        </w:tc>
      </w:tr>
      <w:bookmarkEnd w:id="8"/>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1.3</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Thiết bị đầu cuối thuê bao thuộc hệ thống thông tin di động qua vệ tinh: mức phí tính cho mỗi thiết bị</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240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đài vệ tinh trái đất sử dụng tần số trong băng tần từ 12,75 GHz đến 13,25 GHz; đài vệ tinh trái đất chỉ thu (tính theo độ rộng băng tần thu)</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70% mức phí tương ứng quy định tại điểm 1.1 khoản 1 mục IV này</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605742" w:rsidP="0011725C">
            <w:pPr>
              <w:spacing w:after="0" w:line="234" w:lineRule="atLeast"/>
              <w:jc w:val="center"/>
              <w:rPr>
                <w:rFonts w:ascii="Times New Roman" w:eastAsia="Times New Roman" w:hAnsi="Times New Roman" w:cs="Times New Roman"/>
                <w:sz w:val="24"/>
                <w:szCs w:val="24"/>
              </w:rPr>
            </w:pPr>
            <w:bookmarkStart w:id="9" w:name="khoan_2_4_1" w:colFirst="0" w:colLast="1"/>
            <w:r>
              <w:rPr>
                <w:rFonts w:ascii="Times New Roman" w:eastAsia="Times New Roman" w:hAnsi="Times New Roman" w:cs="Times New Roman"/>
                <w:sz w:val="24"/>
                <w:szCs w:val="24"/>
              </w:rPr>
              <w:t>2</w:t>
            </w:r>
            <w:bookmarkStart w:id="10" w:name="_GoBack"/>
            <w:bookmarkEnd w:id="10"/>
          </w:p>
        </w:tc>
        <w:tc>
          <w:tcPr>
            <w:tcW w:w="3181" w:type="pct"/>
            <w:tcBorders>
              <w:top w:val="nil"/>
              <w:left w:val="nil"/>
              <w:bottom w:val="single" w:sz="8" w:space="0" w:color="auto"/>
              <w:right w:val="single" w:sz="8" w:space="0" w:color="auto"/>
            </w:tcBorders>
            <w:vAlign w:val="center"/>
            <w:hideMark/>
          </w:tcPr>
          <w:p w:rsidR="0011725C" w:rsidRPr="0011725C" w:rsidRDefault="00605742" w:rsidP="0011725C">
            <w:pPr>
              <w:spacing w:before="120" w:after="120" w:line="234" w:lineRule="atLeast"/>
              <w:rPr>
                <w:rFonts w:ascii="Times New Roman" w:eastAsia="Times New Roman" w:hAnsi="Times New Roman" w:cs="Times New Roman"/>
                <w:sz w:val="24"/>
                <w:szCs w:val="24"/>
              </w:rPr>
            </w:pPr>
            <w:r w:rsidRPr="00605742">
              <w:rPr>
                <w:rFonts w:ascii="Times New Roman" w:eastAsia="Times New Roman" w:hAnsi="Times New Roman" w:cs="Times New Roman"/>
                <w:sz w:val="24"/>
                <w:szCs w:val="24"/>
              </w:rPr>
              <w:t>Đài vũ trụ, tính cho mỗi bộ phát đáp với băng thông 36 MHz (đối với bộ phát đáp có băng thông khác (ΔB MHz), mức phí được tính bằng (ΔB/36) mức tương ứng).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10.000</w:t>
            </w:r>
          </w:p>
        </w:tc>
      </w:tr>
      <w:bookmarkEnd w:id="9"/>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V</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VÔ TUYẾN XÁC ĐỊNH</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0"/>
                <w:szCs w:val="20"/>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Đài vô tuyến điện thuộc nghiệp vụ vô tuyến xác định </w:t>
            </w:r>
            <w:r w:rsidRPr="0011725C">
              <w:rPr>
                <w:rFonts w:ascii="Times New Roman" w:eastAsia="Times New Roman" w:hAnsi="Times New Roman" w:cs="Times New Roman"/>
                <w:sz w:val="24"/>
                <w:szCs w:val="24"/>
              </w:rPr>
              <w:t>(trừ ra-đa đặt trên tàu biển, máy bay, phương tiện nghề cá): tính trên mỗi tần số phát được ấn định cho 1 máy phát, theo băng tần và độ rộng băng tần chiếm dụng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lastRenderedPageBreak/>
              <w:t>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từ 23,6 GHz trở xuống:</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2.000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 kHz &lt; BW ≤ 3.500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4.400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3.500 kHz &lt; 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10.200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28.000 kHz &lt; BW ≤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18.000</w:t>
            </w:r>
          </w:p>
        </w:tc>
      </w:tr>
      <w:tr w:rsidR="0011725C" w:rsidRPr="0011725C" w:rsidTr="00C260A1">
        <w:trPr>
          <w:tblCellSpacing w:w="0" w:type="dxa"/>
        </w:trPr>
        <w:tc>
          <w:tcPr>
            <w:tcW w:w="454" w:type="pct"/>
            <w:vMerge w:val="restar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Băng tần trên 23,6 GHz: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 7.000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7.000 kHz &lt; BW ≤ 14.000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3.200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14.000 kHz &lt; BW ≤ 28.000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4.000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28.000 kHz &lt; BW ≤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6.800</w:t>
            </w:r>
          </w:p>
        </w:tc>
      </w:tr>
      <w:tr w:rsidR="0011725C" w:rsidRPr="0011725C" w:rsidTr="00C260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BW &gt; 56.000 kHz</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8.200</w:t>
            </w: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VI</w:t>
            </w: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NGHIỆP VỤ VÔ TUYẾN ĐIỆN NGHIỆP DƯ</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4"/>
                <w:szCs w:val="24"/>
              </w:rPr>
            </w:pPr>
          </w:p>
        </w:tc>
      </w:tr>
      <w:tr w:rsidR="0011725C" w:rsidRPr="0011725C" w:rsidTr="00C260A1">
        <w:trPr>
          <w:tblCellSpacing w:w="0" w:type="dxa"/>
        </w:trPr>
        <w:tc>
          <w:tcPr>
            <w:tcW w:w="454"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after="0" w:line="240" w:lineRule="auto"/>
              <w:rPr>
                <w:rFonts w:ascii="Times New Roman" w:eastAsia="Times New Roman" w:hAnsi="Times New Roman" w:cs="Times New Roman"/>
                <w:sz w:val="20"/>
                <w:szCs w:val="20"/>
              </w:rPr>
            </w:pPr>
          </w:p>
        </w:tc>
        <w:tc>
          <w:tcPr>
            <w:tcW w:w="3181"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Vô tuyến điện nghiệp dư, tính trên băng tần được cấp phép, theo quy định về băng tần cho nghiệp vụ vô tuyến điện nghiệp dư</w:t>
            </w:r>
          </w:p>
        </w:tc>
        <w:tc>
          <w:tcPr>
            <w:tcW w:w="1365"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240</w:t>
            </w:r>
          </w:p>
        </w:tc>
      </w:tr>
    </w:tbl>
    <w:p w:rsidR="0011725C" w:rsidRPr="0011725C" w:rsidRDefault="0011725C" w:rsidP="0011725C">
      <w:pPr>
        <w:shd w:val="clear" w:color="auto" w:fill="FFFFFF"/>
        <w:spacing w:before="120" w:after="120" w:line="234" w:lineRule="atLeast"/>
        <w:rPr>
          <w:rFonts w:ascii="Times New Roman" w:eastAsia="Times New Roman" w:hAnsi="Times New Roman" w:cs="Times New Roman"/>
          <w:color w:val="000000"/>
          <w:sz w:val="18"/>
          <w:szCs w:val="18"/>
        </w:rPr>
      </w:pPr>
      <w:r w:rsidRPr="0011725C">
        <w:rPr>
          <w:rFonts w:ascii="Times New Roman" w:eastAsia="Times New Roman" w:hAnsi="Times New Roman" w:cs="Times New Roman"/>
          <w:color w:val="000000"/>
          <w:sz w:val="18"/>
          <w:szCs w:val="18"/>
          <w:vertAlign w:val="superscript"/>
        </w:rPr>
        <w:t>(2)</w:t>
      </w:r>
      <w:r w:rsidRPr="0011725C">
        <w:rPr>
          <w:rFonts w:ascii="Times New Roman" w:eastAsia="Times New Roman" w:hAnsi="Times New Roman" w:cs="Times New Roman"/>
          <w:color w:val="000000"/>
          <w:sz w:val="18"/>
          <w:szCs w:val="18"/>
        </w:rPr>
        <w:t> Độ rộng băng tần chiếm dụng được tính theo các thông số của máy phát được </w:t>
      </w:r>
      <w:r w:rsidRPr="0011725C">
        <w:rPr>
          <w:rFonts w:ascii="Times New Roman" w:eastAsia="Times New Roman" w:hAnsi="Times New Roman" w:cs="Times New Roman"/>
          <w:color w:val="000000"/>
          <w:sz w:val="18"/>
          <w:szCs w:val="18"/>
          <w:shd w:val="clear" w:color="auto" w:fill="FFFFFF"/>
        </w:rPr>
        <w:t>cấp</w:t>
      </w:r>
      <w:r w:rsidRPr="0011725C">
        <w:rPr>
          <w:rFonts w:ascii="Times New Roman" w:eastAsia="Times New Roman" w:hAnsi="Times New Roman" w:cs="Times New Roman"/>
          <w:color w:val="000000"/>
          <w:sz w:val="18"/>
          <w:szCs w:val="18"/>
        </w:rPr>
        <w:t> phép hoặc được ghi </w:t>
      </w:r>
      <w:r w:rsidRPr="0011725C">
        <w:rPr>
          <w:rFonts w:ascii="Times New Roman" w:eastAsia="Times New Roman" w:hAnsi="Times New Roman" w:cs="Times New Roman"/>
          <w:color w:val="000000"/>
          <w:sz w:val="18"/>
          <w:szCs w:val="18"/>
          <w:shd w:val="clear" w:color="auto" w:fill="FFFFFF"/>
        </w:rPr>
        <w:t>cụ thể</w:t>
      </w:r>
      <w:r w:rsidRPr="0011725C">
        <w:rPr>
          <w:rFonts w:ascii="Times New Roman" w:eastAsia="Times New Roman" w:hAnsi="Times New Roman" w:cs="Times New Roman"/>
          <w:color w:val="000000"/>
          <w:sz w:val="18"/>
          <w:szCs w:val="18"/>
        </w:rPr>
        <w:t> trong giấy phép.</w:t>
      </w:r>
    </w:p>
    <w:p w:rsidR="0011725C" w:rsidRPr="0011725C" w:rsidRDefault="0011725C" w:rsidP="0011725C">
      <w:pPr>
        <w:shd w:val="clear" w:color="auto" w:fill="FFFFFF"/>
        <w:spacing w:before="120" w:after="120" w:line="234" w:lineRule="atLeast"/>
        <w:rPr>
          <w:rFonts w:ascii="Times New Roman" w:eastAsia="Times New Roman" w:hAnsi="Times New Roman" w:cs="Times New Roman"/>
          <w:color w:val="000000"/>
          <w:sz w:val="18"/>
          <w:szCs w:val="18"/>
        </w:rPr>
      </w:pPr>
      <w:r w:rsidRPr="0011725C">
        <w:rPr>
          <w:rFonts w:ascii="Times New Roman" w:eastAsia="Times New Roman" w:hAnsi="Times New Roman" w:cs="Times New Roman"/>
          <w:b/>
          <w:bCs/>
          <w:color w:val="000000"/>
          <w:sz w:val="18"/>
          <w:szCs w:val="18"/>
        </w:rPr>
        <w:t>C. PHÍ SỬ DỤNG TẦN SỐ VÔ TUYẾN ĐIỆN</w:t>
      </w:r>
      <w:r w:rsidRPr="0011725C">
        <w:rPr>
          <w:rFonts w:ascii="Times New Roman" w:eastAsia="Times New Roman" w:hAnsi="Times New Roman" w:cs="Times New Roman"/>
          <w:color w:val="000000"/>
          <w:sz w:val="18"/>
          <w:szCs w:val="18"/>
        </w:rPr>
        <w:br/>
      </w:r>
      <w:r w:rsidRPr="0011725C">
        <w:rPr>
          <w:rFonts w:ascii="Times New Roman" w:eastAsia="Times New Roman" w:hAnsi="Times New Roman" w:cs="Times New Roman"/>
          <w:b/>
          <w:bCs/>
          <w:i/>
          <w:iCs/>
          <w:color w:val="000000"/>
          <w:sz w:val="18"/>
          <w:szCs w:val="18"/>
        </w:rPr>
        <w:t>(Khi cấp phép thử nghiệm)</w:t>
      </w:r>
    </w:p>
    <w:tbl>
      <w:tblPr>
        <w:tblW w:w="0" w:type="dxa"/>
        <w:tblCellSpacing w:w="0" w:type="dxa"/>
        <w:tblCellMar>
          <w:left w:w="0" w:type="dxa"/>
          <w:right w:w="0" w:type="dxa"/>
        </w:tblCellMar>
        <w:tblLook w:val="04A0" w:firstRow="1" w:lastRow="0" w:firstColumn="1" w:lastColumn="0" w:noHBand="0" w:noVBand="1"/>
      </w:tblPr>
      <w:tblGrid>
        <w:gridCol w:w="850"/>
        <w:gridCol w:w="6037"/>
        <w:gridCol w:w="2453"/>
      </w:tblGrid>
      <w:tr w:rsidR="0011725C" w:rsidRPr="0011725C" w:rsidTr="0011725C">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STT</w:t>
            </w:r>
          </w:p>
        </w:tc>
        <w:tc>
          <w:tcPr>
            <w:tcW w:w="3200" w:type="pct"/>
            <w:tcBorders>
              <w:top w:val="single" w:sz="8" w:space="0" w:color="auto"/>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Chỉ tiêu</w:t>
            </w:r>
          </w:p>
        </w:tc>
        <w:tc>
          <w:tcPr>
            <w:tcW w:w="1250" w:type="pct"/>
            <w:tcBorders>
              <w:top w:val="single" w:sz="8" w:space="0" w:color="auto"/>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Mức thu cho 12 tháng (1.000 đồng)</w:t>
            </w:r>
          </w:p>
        </w:tc>
      </w:tr>
      <w:tr w:rsidR="0011725C" w:rsidRPr="0011725C" w:rsidTr="0011725C">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I</w:t>
            </w:r>
          </w:p>
        </w:tc>
        <w:tc>
          <w:tcPr>
            <w:tcW w:w="4500"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Thử nghiệm mạng và dịch vụ viễn thông</w:t>
            </w:r>
          </w:p>
        </w:tc>
      </w:tr>
      <w:tr w:rsidR="0011725C" w:rsidRPr="0011725C" w:rsidTr="0011725C">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w:t>
            </w:r>
          </w:p>
        </w:tc>
        <w:tc>
          <w:tcPr>
            <w:tcW w:w="320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băng tần số, tính trên mỗi MHz của băng tần được cấp trên một tỉnh, thành phố trực thuộc trung ương</w:t>
            </w:r>
          </w:p>
        </w:tc>
        <w:tc>
          <w:tcPr>
            <w:tcW w:w="125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40.000</w:t>
            </w:r>
          </w:p>
        </w:tc>
      </w:tr>
      <w:tr w:rsidR="0011725C" w:rsidRPr="0011725C" w:rsidTr="0011725C">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lastRenderedPageBreak/>
              <w:t>2</w:t>
            </w:r>
          </w:p>
        </w:tc>
        <w:tc>
          <w:tcPr>
            <w:tcW w:w="320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kênh tần số</w:t>
            </w:r>
          </w:p>
        </w:tc>
        <w:tc>
          <w:tcPr>
            <w:tcW w:w="125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30% mức phí của loại phí sử dụng tần số vô tuyến điện quy định tại Phần B Biểu mức thu</w:t>
            </w:r>
          </w:p>
        </w:tc>
      </w:tr>
      <w:tr w:rsidR="0011725C" w:rsidRPr="0011725C" w:rsidTr="0011725C">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II</w:t>
            </w:r>
          </w:p>
        </w:tc>
        <w:tc>
          <w:tcPr>
            <w:tcW w:w="4500" w:type="pct"/>
            <w:gridSpan w:val="2"/>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b/>
                <w:bCs/>
                <w:sz w:val="24"/>
                <w:szCs w:val="24"/>
              </w:rPr>
              <w:t>Thử nghiệm tính năng kỹ thuật của hệ thống phục vụ cho việc giới thiệu công nghệ, thiết bị, nghiên cứu, chế tạo ...</w:t>
            </w:r>
          </w:p>
        </w:tc>
      </w:tr>
      <w:tr w:rsidR="0011725C" w:rsidRPr="0011725C" w:rsidTr="0011725C">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1</w:t>
            </w:r>
          </w:p>
        </w:tc>
        <w:tc>
          <w:tcPr>
            <w:tcW w:w="320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băng tần số, tính trên mỗi MHz của băng tần được cấp trên một tỉnh, thành phố trực thuộc trung ương</w:t>
            </w:r>
          </w:p>
        </w:tc>
        <w:tc>
          <w:tcPr>
            <w:tcW w:w="125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2.000</w:t>
            </w:r>
          </w:p>
        </w:tc>
      </w:tr>
      <w:tr w:rsidR="0011725C" w:rsidRPr="0011725C" w:rsidTr="0011725C">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2</w:t>
            </w:r>
          </w:p>
        </w:tc>
        <w:tc>
          <w:tcPr>
            <w:tcW w:w="320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Đối với kênh tần số</w:t>
            </w:r>
          </w:p>
        </w:tc>
        <w:tc>
          <w:tcPr>
            <w:tcW w:w="1250" w:type="pct"/>
            <w:tcBorders>
              <w:top w:val="nil"/>
              <w:left w:val="nil"/>
              <w:bottom w:val="single" w:sz="8" w:space="0" w:color="auto"/>
              <w:right w:val="single" w:sz="8" w:space="0" w:color="auto"/>
            </w:tcBorders>
            <w:vAlign w:val="center"/>
            <w:hideMark/>
          </w:tcPr>
          <w:p w:rsidR="0011725C" w:rsidRPr="0011725C" w:rsidRDefault="0011725C" w:rsidP="0011725C">
            <w:pPr>
              <w:spacing w:before="120" w:after="120" w:line="234" w:lineRule="atLeast"/>
              <w:jc w:val="center"/>
              <w:rPr>
                <w:rFonts w:ascii="Times New Roman" w:eastAsia="Times New Roman" w:hAnsi="Times New Roman" w:cs="Times New Roman"/>
                <w:sz w:val="24"/>
                <w:szCs w:val="24"/>
              </w:rPr>
            </w:pPr>
            <w:r w:rsidRPr="0011725C">
              <w:rPr>
                <w:rFonts w:ascii="Times New Roman" w:eastAsia="Times New Roman" w:hAnsi="Times New Roman" w:cs="Times New Roman"/>
                <w:sz w:val="24"/>
                <w:szCs w:val="24"/>
              </w:rPr>
              <w:t>Bằng 3% mức phí của loại phí sử dụng tần số vô tuyến điện quy định tại Phần B Biểu mức thu</w:t>
            </w:r>
          </w:p>
        </w:tc>
      </w:tr>
    </w:tbl>
    <w:p w:rsidR="009471B5" w:rsidRPr="0011725C" w:rsidRDefault="009471B5">
      <w:pPr>
        <w:rPr>
          <w:rFonts w:ascii="Times New Roman" w:hAnsi="Times New Roman" w:cs="Times New Roman"/>
        </w:rPr>
      </w:pPr>
    </w:p>
    <w:sectPr w:rsidR="009471B5" w:rsidRPr="00117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95AF7"/>
    <w:multiLevelType w:val="multilevel"/>
    <w:tmpl w:val="EE9C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A1877"/>
    <w:multiLevelType w:val="multilevel"/>
    <w:tmpl w:val="9B4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5C"/>
    <w:rsid w:val="0011725C"/>
    <w:rsid w:val="00605742"/>
    <w:rsid w:val="009471B5"/>
    <w:rsid w:val="00C2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FF279-1DEB-4B5C-8D83-ACED683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25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117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611">
      <w:bodyDiv w:val="1"/>
      <w:marLeft w:val="0"/>
      <w:marRight w:val="0"/>
      <w:marTop w:val="0"/>
      <w:marBottom w:val="0"/>
      <w:divBdr>
        <w:top w:val="none" w:sz="0" w:space="0" w:color="auto"/>
        <w:left w:val="none" w:sz="0" w:space="0" w:color="auto"/>
        <w:bottom w:val="none" w:sz="0" w:space="0" w:color="auto"/>
        <w:right w:val="none" w:sz="0" w:space="0" w:color="auto"/>
      </w:divBdr>
    </w:div>
    <w:div w:id="156463397">
      <w:bodyDiv w:val="1"/>
      <w:marLeft w:val="0"/>
      <w:marRight w:val="0"/>
      <w:marTop w:val="0"/>
      <w:marBottom w:val="0"/>
      <w:divBdr>
        <w:top w:val="none" w:sz="0" w:space="0" w:color="auto"/>
        <w:left w:val="none" w:sz="0" w:space="0" w:color="auto"/>
        <w:bottom w:val="none" w:sz="0" w:space="0" w:color="auto"/>
        <w:right w:val="none" w:sz="0" w:space="0" w:color="auto"/>
      </w:divBdr>
    </w:div>
    <w:div w:id="160000740">
      <w:bodyDiv w:val="1"/>
      <w:marLeft w:val="0"/>
      <w:marRight w:val="0"/>
      <w:marTop w:val="0"/>
      <w:marBottom w:val="0"/>
      <w:divBdr>
        <w:top w:val="none" w:sz="0" w:space="0" w:color="auto"/>
        <w:left w:val="none" w:sz="0" w:space="0" w:color="auto"/>
        <w:bottom w:val="none" w:sz="0" w:space="0" w:color="auto"/>
        <w:right w:val="none" w:sz="0" w:space="0" w:color="auto"/>
      </w:divBdr>
      <w:divsChild>
        <w:div w:id="882713759">
          <w:marLeft w:val="0"/>
          <w:marRight w:val="0"/>
          <w:marTop w:val="0"/>
          <w:marBottom w:val="0"/>
          <w:divBdr>
            <w:top w:val="none" w:sz="0" w:space="0" w:color="auto"/>
            <w:left w:val="none" w:sz="0" w:space="0" w:color="auto"/>
            <w:bottom w:val="none" w:sz="0" w:space="0" w:color="auto"/>
            <w:right w:val="none" w:sz="0" w:space="0" w:color="auto"/>
          </w:divBdr>
          <w:divsChild>
            <w:div w:id="1622106170">
              <w:marLeft w:val="0"/>
              <w:marRight w:val="0"/>
              <w:marTop w:val="0"/>
              <w:marBottom w:val="0"/>
              <w:divBdr>
                <w:top w:val="single" w:sz="12" w:space="0" w:color="F89B1A"/>
                <w:left w:val="single" w:sz="6" w:space="0" w:color="C8D4DB"/>
                <w:bottom w:val="none" w:sz="0" w:space="0" w:color="auto"/>
                <w:right w:val="single" w:sz="6" w:space="0" w:color="C8D4DB"/>
              </w:divBdr>
              <w:divsChild>
                <w:div w:id="1637370070">
                  <w:marLeft w:val="0"/>
                  <w:marRight w:val="0"/>
                  <w:marTop w:val="0"/>
                  <w:marBottom w:val="0"/>
                  <w:divBdr>
                    <w:top w:val="none" w:sz="0" w:space="0" w:color="auto"/>
                    <w:left w:val="none" w:sz="0" w:space="0" w:color="auto"/>
                    <w:bottom w:val="none" w:sz="0" w:space="0" w:color="auto"/>
                    <w:right w:val="none" w:sz="0" w:space="0" w:color="auto"/>
                  </w:divBdr>
                  <w:divsChild>
                    <w:div w:id="1693264488">
                      <w:marLeft w:val="0"/>
                      <w:marRight w:val="0"/>
                      <w:marTop w:val="0"/>
                      <w:marBottom w:val="0"/>
                      <w:divBdr>
                        <w:top w:val="none" w:sz="0" w:space="0" w:color="auto"/>
                        <w:left w:val="none" w:sz="0" w:space="0" w:color="auto"/>
                        <w:bottom w:val="none" w:sz="0" w:space="0" w:color="auto"/>
                        <w:right w:val="none" w:sz="0" w:space="0" w:color="auto"/>
                      </w:divBdr>
                      <w:divsChild>
                        <w:div w:id="1626767003">
                          <w:marLeft w:val="0"/>
                          <w:marRight w:val="225"/>
                          <w:marTop w:val="0"/>
                          <w:marBottom w:val="0"/>
                          <w:divBdr>
                            <w:top w:val="none" w:sz="0" w:space="0" w:color="auto"/>
                            <w:left w:val="none" w:sz="0" w:space="0" w:color="auto"/>
                            <w:bottom w:val="none" w:sz="0" w:space="0" w:color="auto"/>
                            <w:right w:val="none" w:sz="0" w:space="0" w:color="auto"/>
                          </w:divBdr>
                          <w:divsChild>
                            <w:div w:id="1117718217">
                              <w:marLeft w:val="0"/>
                              <w:marRight w:val="0"/>
                              <w:marTop w:val="0"/>
                              <w:marBottom w:val="0"/>
                              <w:divBdr>
                                <w:top w:val="none" w:sz="0" w:space="0" w:color="auto"/>
                                <w:left w:val="none" w:sz="0" w:space="0" w:color="auto"/>
                                <w:bottom w:val="none" w:sz="0" w:space="0" w:color="auto"/>
                                <w:right w:val="none" w:sz="0" w:space="0" w:color="auto"/>
                              </w:divBdr>
                              <w:divsChild>
                                <w:div w:id="214706764">
                                  <w:marLeft w:val="0"/>
                                  <w:marRight w:val="0"/>
                                  <w:marTop w:val="0"/>
                                  <w:marBottom w:val="0"/>
                                  <w:divBdr>
                                    <w:top w:val="none" w:sz="0" w:space="0" w:color="auto"/>
                                    <w:left w:val="none" w:sz="0" w:space="0" w:color="auto"/>
                                    <w:bottom w:val="none" w:sz="0" w:space="0" w:color="auto"/>
                                    <w:right w:val="none" w:sz="0" w:space="0" w:color="auto"/>
                                  </w:divBdr>
                                  <w:divsChild>
                                    <w:div w:id="1203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8440">
                          <w:marLeft w:val="0"/>
                          <w:marRight w:val="0"/>
                          <w:marTop w:val="150"/>
                          <w:marBottom w:val="0"/>
                          <w:divBdr>
                            <w:top w:val="none" w:sz="0" w:space="0" w:color="auto"/>
                            <w:left w:val="none" w:sz="0" w:space="0" w:color="auto"/>
                            <w:bottom w:val="none" w:sz="0" w:space="0" w:color="auto"/>
                            <w:right w:val="none" w:sz="0" w:space="0" w:color="auto"/>
                          </w:divBdr>
                          <w:divsChild>
                            <w:div w:id="245849659">
                              <w:marLeft w:val="0"/>
                              <w:marRight w:val="0"/>
                              <w:marTop w:val="0"/>
                              <w:marBottom w:val="0"/>
                              <w:divBdr>
                                <w:top w:val="single" w:sz="2" w:space="0" w:color="BDC8D5"/>
                                <w:left w:val="single" w:sz="2" w:space="0" w:color="BDC8D5"/>
                                <w:bottom w:val="single" w:sz="2" w:space="8" w:color="BDC8D5"/>
                                <w:right w:val="single" w:sz="2" w:space="0" w:color="BDC8D5"/>
                              </w:divBdr>
                              <w:divsChild>
                                <w:div w:id="14897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3363">
      <w:bodyDiv w:val="1"/>
      <w:marLeft w:val="0"/>
      <w:marRight w:val="0"/>
      <w:marTop w:val="0"/>
      <w:marBottom w:val="0"/>
      <w:divBdr>
        <w:top w:val="none" w:sz="0" w:space="0" w:color="auto"/>
        <w:left w:val="none" w:sz="0" w:space="0" w:color="auto"/>
        <w:bottom w:val="none" w:sz="0" w:space="0" w:color="auto"/>
        <w:right w:val="none" w:sz="0" w:space="0" w:color="auto"/>
      </w:divBdr>
    </w:div>
    <w:div w:id="241641871">
      <w:bodyDiv w:val="1"/>
      <w:marLeft w:val="0"/>
      <w:marRight w:val="0"/>
      <w:marTop w:val="0"/>
      <w:marBottom w:val="0"/>
      <w:divBdr>
        <w:top w:val="none" w:sz="0" w:space="0" w:color="auto"/>
        <w:left w:val="none" w:sz="0" w:space="0" w:color="auto"/>
        <w:bottom w:val="none" w:sz="0" w:space="0" w:color="auto"/>
        <w:right w:val="none" w:sz="0" w:space="0" w:color="auto"/>
      </w:divBdr>
    </w:div>
    <w:div w:id="284510176">
      <w:bodyDiv w:val="1"/>
      <w:marLeft w:val="0"/>
      <w:marRight w:val="0"/>
      <w:marTop w:val="0"/>
      <w:marBottom w:val="0"/>
      <w:divBdr>
        <w:top w:val="none" w:sz="0" w:space="0" w:color="auto"/>
        <w:left w:val="none" w:sz="0" w:space="0" w:color="auto"/>
        <w:bottom w:val="none" w:sz="0" w:space="0" w:color="auto"/>
        <w:right w:val="none" w:sz="0" w:space="0" w:color="auto"/>
      </w:divBdr>
    </w:div>
    <w:div w:id="424108604">
      <w:bodyDiv w:val="1"/>
      <w:marLeft w:val="0"/>
      <w:marRight w:val="0"/>
      <w:marTop w:val="0"/>
      <w:marBottom w:val="0"/>
      <w:divBdr>
        <w:top w:val="none" w:sz="0" w:space="0" w:color="auto"/>
        <w:left w:val="none" w:sz="0" w:space="0" w:color="auto"/>
        <w:bottom w:val="none" w:sz="0" w:space="0" w:color="auto"/>
        <w:right w:val="none" w:sz="0" w:space="0" w:color="auto"/>
      </w:divBdr>
    </w:div>
    <w:div w:id="521361958">
      <w:bodyDiv w:val="1"/>
      <w:marLeft w:val="0"/>
      <w:marRight w:val="0"/>
      <w:marTop w:val="0"/>
      <w:marBottom w:val="0"/>
      <w:divBdr>
        <w:top w:val="none" w:sz="0" w:space="0" w:color="auto"/>
        <w:left w:val="none" w:sz="0" w:space="0" w:color="auto"/>
        <w:bottom w:val="none" w:sz="0" w:space="0" w:color="auto"/>
        <w:right w:val="none" w:sz="0" w:space="0" w:color="auto"/>
      </w:divBdr>
    </w:div>
    <w:div w:id="543953121">
      <w:bodyDiv w:val="1"/>
      <w:marLeft w:val="0"/>
      <w:marRight w:val="0"/>
      <w:marTop w:val="0"/>
      <w:marBottom w:val="0"/>
      <w:divBdr>
        <w:top w:val="none" w:sz="0" w:space="0" w:color="auto"/>
        <w:left w:val="none" w:sz="0" w:space="0" w:color="auto"/>
        <w:bottom w:val="none" w:sz="0" w:space="0" w:color="auto"/>
        <w:right w:val="none" w:sz="0" w:space="0" w:color="auto"/>
      </w:divBdr>
    </w:div>
    <w:div w:id="630132871">
      <w:bodyDiv w:val="1"/>
      <w:marLeft w:val="0"/>
      <w:marRight w:val="0"/>
      <w:marTop w:val="0"/>
      <w:marBottom w:val="0"/>
      <w:divBdr>
        <w:top w:val="none" w:sz="0" w:space="0" w:color="auto"/>
        <w:left w:val="none" w:sz="0" w:space="0" w:color="auto"/>
        <w:bottom w:val="none" w:sz="0" w:space="0" w:color="auto"/>
        <w:right w:val="none" w:sz="0" w:space="0" w:color="auto"/>
      </w:divBdr>
    </w:div>
    <w:div w:id="706416116">
      <w:bodyDiv w:val="1"/>
      <w:marLeft w:val="0"/>
      <w:marRight w:val="0"/>
      <w:marTop w:val="0"/>
      <w:marBottom w:val="0"/>
      <w:divBdr>
        <w:top w:val="none" w:sz="0" w:space="0" w:color="auto"/>
        <w:left w:val="none" w:sz="0" w:space="0" w:color="auto"/>
        <w:bottom w:val="none" w:sz="0" w:space="0" w:color="auto"/>
        <w:right w:val="none" w:sz="0" w:space="0" w:color="auto"/>
      </w:divBdr>
    </w:div>
    <w:div w:id="794756025">
      <w:bodyDiv w:val="1"/>
      <w:marLeft w:val="0"/>
      <w:marRight w:val="0"/>
      <w:marTop w:val="0"/>
      <w:marBottom w:val="0"/>
      <w:divBdr>
        <w:top w:val="none" w:sz="0" w:space="0" w:color="auto"/>
        <w:left w:val="none" w:sz="0" w:space="0" w:color="auto"/>
        <w:bottom w:val="none" w:sz="0" w:space="0" w:color="auto"/>
        <w:right w:val="none" w:sz="0" w:space="0" w:color="auto"/>
      </w:divBdr>
    </w:div>
    <w:div w:id="921832877">
      <w:bodyDiv w:val="1"/>
      <w:marLeft w:val="0"/>
      <w:marRight w:val="0"/>
      <w:marTop w:val="0"/>
      <w:marBottom w:val="0"/>
      <w:divBdr>
        <w:top w:val="none" w:sz="0" w:space="0" w:color="auto"/>
        <w:left w:val="none" w:sz="0" w:space="0" w:color="auto"/>
        <w:bottom w:val="none" w:sz="0" w:space="0" w:color="auto"/>
        <w:right w:val="none" w:sz="0" w:space="0" w:color="auto"/>
      </w:divBdr>
    </w:div>
    <w:div w:id="1085111124">
      <w:bodyDiv w:val="1"/>
      <w:marLeft w:val="0"/>
      <w:marRight w:val="0"/>
      <w:marTop w:val="0"/>
      <w:marBottom w:val="0"/>
      <w:divBdr>
        <w:top w:val="none" w:sz="0" w:space="0" w:color="auto"/>
        <w:left w:val="none" w:sz="0" w:space="0" w:color="auto"/>
        <w:bottom w:val="none" w:sz="0" w:space="0" w:color="auto"/>
        <w:right w:val="none" w:sz="0" w:space="0" w:color="auto"/>
      </w:divBdr>
    </w:div>
    <w:div w:id="1166551952">
      <w:bodyDiv w:val="1"/>
      <w:marLeft w:val="0"/>
      <w:marRight w:val="0"/>
      <w:marTop w:val="0"/>
      <w:marBottom w:val="0"/>
      <w:divBdr>
        <w:top w:val="none" w:sz="0" w:space="0" w:color="auto"/>
        <w:left w:val="none" w:sz="0" w:space="0" w:color="auto"/>
        <w:bottom w:val="none" w:sz="0" w:space="0" w:color="auto"/>
        <w:right w:val="none" w:sz="0" w:space="0" w:color="auto"/>
      </w:divBdr>
    </w:div>
    <w:div w:id="1190335817">
      <w:bodyDiv w:val="1"/>
      <w:marLeft w:val="0"/>
      <w:marRight w:val="0"/>
      <w:marTop w:val="0"/>
      <w:marBottom w:val="0"/>
      <w:divBdr>
        <w:top w:val="none" w:sz="0" w:space="0" w:color="auto"/>
        <w:left w:val="none" w:sz="0" w:space="0" w:color="auto"/>
        <w:bottom w:val="none" w:sz="0" w:space="0" w:color="auto"/>
        <w:right w:val="none" w:sz="0" w:space="0" w:color="auto"/>
      </w:divBdr>
    </w:div>
    <w:div w:id="1281718955">
      <w:bodyDiv w:val="1"/>
      <w:marLeft w:val="0"/>
      <w:marRight w:val="0"/>
      <w:marTop w:val="0"/>
      <w:marBottom w:val="0"/>
      <w:divBdr>
        <w:top w:val="none" w:sz="0" w:space="0" w:color="auto"/>
        <w:left w:val="none" w:sz="0" w:space="0" w:color="auto"/>
        <w:bottom w:val="none" w:sz="0" w:space="0" w:color="auto"/>
        <w:right w:val="none" w:sz="0" w:space="0" w:color="auto"/>
      </w:divBdr>
    </w:div>
    <w:div w:id="1332221590">
      <w:bodyDiv w:val="1"/>
      <w:marLeft w:val="0"/>
      <w:marRight w:val="0"/>
      <w:marTop w:val="0"/>
      <w:marBottom w:val="0"/>
      <w:divBdr>
        <w:top w:val="none" w:sz="0" w:space="0" w:color="auto"/>
        <w:left w:val="none" w:sz="0" w:space="0" w:color="auto"/>
        <w:bottom w:val="none" w:sz="0" w:space="0" w:color="auto"/>
        <w:right w:val="none" w:sz="0" w:space="0" w:color="auto"/>
      </w:divBdr>
    </w:div>
    <w:div w:id="1501460049">
      <w:bodyDiv w:val="1"/>
      <w:marLeft w:val="0"/>
      <w:marRight w:val="0"/>
      <w:marTop w:val="0"/>
      <w:marBottom w:val="0"/>
      <w:divBdr>
        <w:top w:val="none" w:sz="0" w:space="0" w:color="auto"/>
        <w:left w:val="none" w:sz="0" w:space="0" w:color="auto"/>
        <w:bottom w:val="none" w:sz="0" w:space="0" w:color="auto"/>
        <w:right w:val="none" w:sz="0" w:space="0" w:color="auto"/>
      </w:divBdr>
    </w:div>
    <w:div w:id="1575626457">
      <w:bodyDiv w:val="1"/>
      <w:marLeft w:val="0"/>
      <w:marRight w:val="0"/>
      <w:marTop w:val="0"/>
      <w:marBottom w:val="0"/>
      <w:divBdr>
        <w:top w:val="none" w:sz="0" w:space="0" w:color="auto"/>
        <w:left w:val="none" w:sz="0" w:space="0" w:color="auto"/>
        <w:bottom w:val="none" w:sz="0" w:space="0" w:color="auto"/>
        <w:right w:val="none" w:sz="0" w:space="0" w:color="auto"/>
      </w:divBdr>
    </w:div>
    <w:div w:id="1647584387">
      <w:bodyDiv w:val="1"/>
      <w:marLeft w:val="0"/>
      <w:marRight w:val="0"/>
      <w:marTop w:val="0"/>
      <w:marBottom w:val="0"/>
      <w:divBdr>
        <w:top w:val="none" w:sz="0" w:space="0" w:color="auto"/>
        <w:left w:val="none" w:sz="0" w:space="0" w:color="auto"/>
        <w:bottom w:val="none" w:sz="0" w:space="0" w:color="auto"/>
        <w:right w:val="none" w:sz="0" w:space="0" w:color="auto"/>
      </w:divBdr>
    </w:div>
    <w:div w:id="1873766370">
      <w:bodyDiv w:val="1"/>
      <w:marLeft w:val="0"/>
      <w:marRight w:val="0"/>
      <w:marTop w:val="0"/>
      <w:marBottom w:val="0"/>
      <w:divBdr>
        <w:top w:val="none" w:sz="0" w:space="0" w:color="auto"/>
        <w:left w:val="none" w:sz="0" w:space="0" w:color="auto"/>
        <w:bottom w:val="none" w:sz="0" w:space="0" w:color="auto"/>
        <w:right w:val="none" w:sz="0" w:space="0" w:color="auto"/>
      </w:divBdr>
    </w:div>
    <w:div w:id="1923568715">
      <w:bodyDiv w:val="1"/>
      <w:marLeft w:val="0"/>
      <w:marRight w:val="0"/>
      <w:marTop w:val="0"/>
      <w:marBottom w:val="0"/>
      <w:divBdr>
        <w:top w:val="none" w:sz="0" w:space="0" w:color="auto"/>
        <w:left w:val="none" w:sz="0" w:space="0" w:color="auto"/>
        <w:bottom w:val="none" w:sz="0" w:space="0" w:color="auto"/>
        <w:right w:val="none" w:sz="0" w:space="0" w:color="auto"/>
      </w:divBdr>
    </w:div>
    <w:div w:id="20708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2023-12-25T06:43:00Z</dcterms:created>
  <dcterms:modified xsi:type="dcterms:W3CDTF">2023-12-25T07:14:00Z</dcterms:modified>
</cp:coreProperties>
</file>