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09" w:rsidRPr="00421C09" w:rsidRDefault="00421C09" w:rsidP="00421C0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loai_pl1"/>
      <w:r w:rsidRPr="0042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vi-VN"/>
        </w:rPr>
        <w:t>PHỤ LỤC SỐ 01</w:t>
      </w:r>
      <w:bookmarkEnd w:id="0"/>
    </w:p>
    <w:p w:rsidR="00421C09" w:rsidRPr="00421C09" w:rsidRDefault="00421C09" w:rsidP="00421C09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loai_pl1_name"/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  <w:t>BẢNG NHU CẦU DINH DƯỠNG KHUYẾN NGHỊ CHO NGƯỜI VIỆT NAM</w:t>
      </w:r>
      <w:bookmarkEnd w:id="1"/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21C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vi-VN"/>
        </w:rPr>
        <w:t>(Ban hành kèm theo Thông tư số 43/2014/TT-BYT ngày 24 tháng 11 năm 2014 của Bộ trưởng Bộ Y tế)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Nhu cầu các khoáng chất và vi chất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1427"/>
        <w:gridCol w:w="1427"/>
        <w:gridCol w:w="1522"/>
        <w:gridCol w:w="1377"/>
      </w:tblGrid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tuổi, giới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Ca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(Calcium)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(Magnesium)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(Phosphorus)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(mg/ngày)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Selen * (μg/ngày)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em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6 tháng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tháng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nhỏ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tuổi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tuổi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tuổi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vị thành niên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bookmarkStart w:id="2" w:name="_GoBack"/>
        <w:bookmarkEnd w:id="2"/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tuổi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trưởng thành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19-49 tuổi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tuổi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&gt;60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Nữ vị thành niên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tuổi (chưa có kinh nguyệt)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1.250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13-15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Nữ trưởng thành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19-49 tuổi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50-60 tuổi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 60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mang thai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tháng đầu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42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152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tháng giữa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tháng cuối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 mẹ cho con bú (trong suốt cả thời kỳ cho bú)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1.000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tháng đầu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tháng sau</w:t>
            </w: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</w:tr>
    </w:tbl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* Nhu cầu dinh dưỡng khuyến nghị tính từ giá trị nhu cầu trung bình +2 SD.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Nhu cầu iốt, sắt và kẽm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4"/>
        <w:gridCol w:w="1209"/>
        <w:gridCol w:w="906"/>
        <w:gridCol w:w="900"/>
        <w:gridCol w:w="907"/>
        <w:gridCol w:w="939"/>
        <w:gridCol w:w="939"/>
        <w:gridCol w:w="954"/>
      </w:tblGrid>
      <w:tr w:rsidR="00421C09" w:rsidRPr="00421C09" w:rsidTr="00421C09">
        <w:trPr>
          <w:tblCellSpacing w:w="0" w:type="dxa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tuổi</w:t>
            </w:r>
          </w:p>
        </w:tc>
        <w:tc>
          <w:tcPr>
            <w:tcW w:w="12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lốt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(μg/ngày)</w:t>
            </w:r>
          </w:p>
        </w:tc>
        <w:tc>
          <w:tcPr>
            <w:tcW w:w="27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Sắt (mg/ngày) theo giá trị sinh học khẩu phần</w:t>
            </w:r>
          </w:p>
        </w:tc>
        <w:tc>
          <w:tcPr>
            <w:tcW w:w="2832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Kẽm (mg/ngày)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5%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10%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15%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Hấp thu tốt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Hấp thu vừa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Hấp thu kém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em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0-6 tháng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6,5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7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tháng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12,4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0,8-2,5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8,3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nhỏ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4-6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8,4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11,9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8,9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5,6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vị thành niên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25,1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18,8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19,2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Nữ vị thành niên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10-14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28,0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15-18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43,6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32,7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7,8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15,5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Người trưởng thành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 ≥ 19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7,0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14,0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 ≥ 19 tuổi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39,2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8737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Trung niên ≥ 50 tuổi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Nam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Nữ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22,6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có thai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+30,0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+20,0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+15,0</w:t>
            </w: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cho con bú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Khẩu phần có giá trị sinh học sắt thấp (khoảng 5% sắt được hấp thu): chế độ ăn đơn điệu, lượng thịt, cá &lt;30g/ngày hoặc lượng vitamin C &lt;25 mg/ngày.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Khẩu phần có giá trị sinh học sắt trung bình (khoảng 10% sắt được hấp thu): khẩu phần có lượng thịt, cá từ 30g - 90g/ngày hoặc vitamin C từ 25 mg - 75 mg/ngày.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Khẩu phần có giá trị sinh học sắt cao (khoảng 15% sắt được hấp thu): khẩu phần có lượng thịt, cá từ &gt; 90g/ngày hoặc vitamin C từ &gt; 75 mg/ngày.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4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Phụ nữ có thai được khuyến nghị bổ sung viên sắt trong suốt thai kỳ. Phụ nữ thiếu máu cần dùng liều bổ sung cao hơn.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5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Trẻ bú sữa mẹ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6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Trẻ ăn sữa nhân tạo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Trẻ ăn sữa nhân tạo có nhiều phytat và protein nguồn thực vật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8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Không áp dụng cho trẻ bú sữa mẹ đơn thuần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lastRenderedPageBreak/>
        <w:t>8 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Hấp thu tốt: giá trị sinh học kẽm tốt = 50% (khẩu phần có nhiều protein động vật hoặc cá); hấp thu vừa: giá trị sinh học kẽm trung bình = 30% (khẩu phần có vừa phải protein động vật hoặc cá; tỷ số phytat-kẽm phân tử là 5:15). Hấp thu kém: giá trị sinh học kẽm thấp =15% (khẩu phần ít hoặc không có protein động vật hoặc cá).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Nhu cầu các vitamin/một ngày</w:t>
      </w:r>
    </w:p>
    <w:tbl>
      <w:tblPr>
        <w:tblW w:w="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702"/>
        <w:gridCol w:w="696"/>
        <w:gridCol w:w="662"/>
        <w:gridCol w:w="667"/>
        <w:gridCol w:w="607"/>
        <w:gridCol w:w="598"/>
        <w:gridCol w:w="598"/>
        <w:gridCol w:w="654"/>
        <w:gridCol w:w="657"/>
        <w:gridCol w:w="688"/>
        <w:gridCol w:w="717"/>
      </w:tblGrid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Nhóm tuổi, giới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2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3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6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mg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9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B</w:t>
            </w: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bscript"/>
              </w:rPr>
              <w:t>12</w:t>
            </w:r>
          </w:p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mcg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263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Trẻ em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 6 tháng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6-11 tháng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1-3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7-9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1263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vị thành niên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1263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Nam trưởng thành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19-50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≥60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1263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Nữ vị thành niên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10-12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13-15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16-18 tuổi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7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12631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Nữ trưởng thành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19-50 tuổi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51-60 tuổi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&gt;60 tuổi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81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Phụ nữ mang thai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</w:t>
            </w:r>
          </w:p>
        </w:tc>
      </w:tr>
      <w:tr w:rsidR="00421C09" w:rsidRPr="00421C09" w:rsidTr="00421C09">
        <w:trPr>
          <w:tblCellSpacing w:w="0" w:type="dxa"/>
        </w:trPr>
        <w:tc>
          <w:tcPr>
            <w:tcW w:w="3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Bà mẹ cho con bú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9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421C09" w:rsidRPr="00421C09" w:rsidRDefault="00421C09" w:rsidP="00421C09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21C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</w:t>
            </w:r>
          </w:p>
        </w:tc>
      </w:tr>
    </w:tbl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a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Vitamin A có thể sử dụng các hệ số chuyển đổi sau: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01mcg vitamin A hoặc retinol = 01 đương lượng retinol (RE)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 đơn vị quốc tế (IU) tương đương với 0,3 mcg vitamin A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 mcg b-caroten = 0,167 mcg vitamin A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 mcg các caroten khác = 0,084 mcg vitamin A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b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Chưa tính lượng hao hụt do chế biến, nấu nướng do Vitamin C dễ bị phá hủy bởi quá trình ôxy hóa, ánh sáng, kiềm và nhiệt độ.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c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Vitamin D có thể sử dụng các hệ số chuyển đổi sau: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 đơn vị quốc tế (IU) tương đương với 0,03 mcg vitamin D3 hoặc 01 mcg vitamin D3 = 40 đơn vị quốc tế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d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Hệ số chuyển đổi ra IU (theo IOM-FNB 2000) như sau: 01 mg a-tocopherol = 1 IU; 01 mg b-tocopherol = 0,5 IU; 01 mg g-tocopherol = 0,1 IU; 0,1 mg s-tocopherol = 0,02 IU.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e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Niacin hoặc đương lượng Niacin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f</w:t>
      </w: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 Acid folic có thể sử dụng các hệ số chuyển đổi sau: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01 acid folic = 1 folate x 1,7 hoặc 01 gam đương lượng acid folic = 01 gam folate trong thực phẩm + (1,7 x số gam acid folic tổng hợp).</w:t>
      </w:r>
    </w:p>
    <w:p w:rsidR="00421C09" w:rsidRPr="00421C09" w:rsidRDefault="00421C09" w:rsidP="00421C09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1C09">
        <w:rPr>
          <w:rFonts w:ascii="Times New Roman" w:eastAsia="Times New Roman" w:hAnsi="Times New Roman" w:cs="Times New Roman"/>
          <w:color w:val="000000"/>
          <w:sz w:val="24"/>
          <w:szCs w:val="24"/>
        </w:rPr>
        <w:t>Ghi chú: Bảng trên sẽ được cập nhật theo quy định hiện hành của Bộ Y tế.</w:t>
      </w:r>
    </w:p>
    <w:p w:rsidR="00BE1417" w:rsidRPr="00421C09" w:rsidRDefault="00BE1417">
      <w:pPr>
        <w:rPr>
          <w:rFonts w:ascii="Times New Roman" w:hAnsi="Times New Roman" w:cs="Times New Roman"/>
          <w:sz w:val="24"/>
          <w:szCs w:val="24"/>
        </w:rPr>
      </w:pPr>
    </w:p>
    <w:sectPr w:rsidR="00BE1417" w:rsidRPr="00421C0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09"/>
    <w:rsid w:val="00421C09"/>
    <w:rsid w:val="00B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3D83F06-B901-48D8-8310-0FAE8ED2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C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2025-04-18T07:54:00Z</dcterms:created>
  <dcterms:modified xsi:type="dcterms:W3CDTF">2025-04-18T07:55:00Z</dcterms:modified>
</cp:coreProperties>
</file>