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4E" w:rsidRPr="006E084E" w:rsidRDefault="006E084E" w:rsidP="006E084E">
      <w:pPr>
        <w:spacing w:before="120" w:after="0" w:line="240" w:lineRule="auto"/>
        <w:jc w:val="right"/>
        <w:rPr>
          <w:rFonts w:eastAsia="Times New Roman" w:cs="Times New Roman"/>
          <w:color w:val="000000"/>
          <w:sz w:val="20"/>
        </w:rPr>
      </w:pPr>
      <w:bookmarkStart w:id="0" w:name="_GoBack"/>
      <w:r w:rsidRPr="006E084E">
        <w:rPr>
          <w:rFonts w:eastAsia="Times New Roman" w:cs="Times New Roman"/>
          <w:i/>
          <w:iCs/>
          <w:color w:val="000000"/>
          <w:sz w:val="20"/>
          <w:lang w:val="vi-VN"/>
        </w:rPr>
        <w:t>Mẫu số 37</w:t>
      </w:r>
    </w:p>
    <w:tbl>
      <w:tblPr>
        <w:tblW w:w="0" w:type="auto"/>
        <w:tblCellMar>
          <w:left w:w="0" w:type="dxa"/>
          <w:right w:w="0" w:type="dxa"/>
        </w:tblCellMar>
        <w:tblLook w:val="04A0" w:firstRow="1" w:lastRow="0" w:firstColumn="1" w:lastColumn="0" w:noHBand="0" w:noVBand="1"/>
      </w:tblPr>
      <w:tblGrid>
        <w:gridCol w:w="3348"/>
        <w:gridCol w:w="5508"/>
      </w:tblGrid>
      <w:tr w:rsidR="006E084E" w:rsidRPr="006E084E" w:rsidTr="006E084E">
        <w:tc>
          <w:tcPr>
            <w:tcW w:w="3348" w:type="dxa"/>
            <w:tcMar>
              <w:top w:w="0" w:type="dxa"/>
              <w:left w:w="108" w:type="dxa"/>
              <w:bottom w:w="0" w:type="dxa"/>
              <w:right w:w="108" w:type="dxa"/>
            </w:tcMar>
            <w:hideMark/>
          </w:tcPr>
          <w:p w:rsidR="006E084E" w:rsidRPr="006E084E" w:rsidRDefault="006E084E" w:rsidP="006E084E">
            <w:pPr>
              <w:spacing w:before="120" w:after="0" w:line="240" w:lineRule="auto"/>
              <w:jc w:val="center"/>
              <w:rPr>
                <w:rFonts w:eastAsia="Times New Roman" w:cs="Times New Roman"/>
                <w:color w:val="000000"/>
                <w:sz w:val="20"/>
              </w:rPr>
            </w:pPr>
            <w:r w:rsidRPr="006E084E">
              <w:rPr>
                <w:rFonts w:eastAsia="Times New Roman" w:cs="Times New Roman"/>
                <w:b/>
                <w:bCs/>
                <w:color w:val="000000"/>
                <w:sz w:val="20"/>
                <w:lang w:val="vi-VN"/>
              </w:rPr>
              <w:t>UBND TỈNH/THÀNH PH</w:t>
            </w:r>
            <w:r w:rsidRPr="006E084E">
              <w:rPr>
                <w:rFonts w:eastAsia="Times New Roman" w:cs="Times New Roman"/>
                <w:b/>
                <w:bCs/>
                <w:color w:val="000000"/>
                <w:sz w:val="20"/>
              </w:rPr>
              <w:t>Ố……</w:t>
            </w:r>
            <w:r w:rsidRPr="006E084E">
              <w:rPr>
                <w:rFonts w:eastAsia="Times New Roman" w:cs="Times New Roman"/>
                <w:b/>
                <w:bCs/>
                <w:color w:val="000000"/>
                <w:sz w:val="20"/>
                <w:lang w:val="vi-VN"/>
              </w:rPr>
              <w:br/>
              <w:t>-------</w:t>
            </w:r>
          </w:p>
        </w:tc>
        <w:tc>
          <w:tcPr>
            <w:tcW w:w="5508" w:type="dxa"/>
            <w:tcMar>
              <w:top w:w="0" w:type="dxa"/>
              <w:left w:w="108" w:type="dxa"/>
              <w:bottom w:w="0" w:type="dxa"/>
              <w:right w:w="108" w:type="dxa"/>
            </w:tcMar>
            <w:hideMark/>
          </w:tcPr>
          <w:p w:rsidR="006E084E" w:rsidRPr="006E084E" w:rsidRDefault="006E084E" w:rsidP="006E084E">
            <w:pPr>
              <w:spacing w:before="120" w:after="0" w:line="240" w:lineRule="auto"/>
              <w:jc w:val="center"/>
              <w:rPr>
                <w:rFonts w:eastAsia="Times New Roman" w:cs="Times New Roman"/>
                <w:color w:val="000000"/>
                <w:sz w:val="20"/>
              </w:rPr>
            </w:pPr>
            <w:r w:rsidRPr="006E084E">
              <w:rPr>
                <w:rFonts w:eastAsia="Times New Roman" w:cs="Times New Roman"/>
                <w:b/>
                <w:bCs/>
                <w:color w:val="000000"/>
                <w:sz w:val="20"/>
                <w:lang w:val="vi-VN"/>
              </w:rPr>
              <w:t>CỘNG HÒA XÃ HỘI CHỦ NGHĨA VIỆT NAM</w:t>
            </w:r>
            <w:r w:rsidRPr="006E084E">
              <w:rPr>
                <w:rFonts w:eastAsia="Times New Roman" w:cs="Times New Roman"/>
                <w:b/>
                <w:bCs/>
                <w:color w:val="000000"/>
                <w:sz w:val="20"/>
                <w:lang w:val="vi-VN"/>
              </w:rPr>
              <w:br/>
              <w:t xml:space="preserve">Độc lập - Tự do - Hạnh phúc </w:t>
            </w:r>
            <w:r w:rsidRPr="006E084E">
              <w:rPr>
                <w:rFonts w:eastAsia="Times New Roman" w:cs="Times New Roman"/>
                <w:b/>
                <w:bCs/>
                <w:color w:val="000000"/>
                <w:sz w:val="20"/>
                <w:lang w:val="vi-VN"/>
              </w:rPr>
              <w:br/>
              <w:t>---------------</w:t>
            </w:r>
          </w:p>
        </w:tc>
      </w:tr>
      <w:tr w:rsidR="006E084E" w:rsidRPr="006E084E" w:rsidTr="006E084E">
        <w:tc>
          <w:tcPr>
            <w:tcW w:w="3348" w:type="dxa"/>
            <w:tcMar>
              <w:top w:w="0" w:type="dxa"/>
              <w:left w:w="108" w:type="dxa"/>
              <w:bottom w:w="0" w:type="dxa"/>
              <w:right w:w="108" w:type="dxa"/>
            </w:tcMar>
            <w:hideMark/>
          </w:tcPr>
          <w:p w:rsidR="006E084E" w:rsidRPr="006E084E" w:rsidRDefault="006E084E" w:rsidP="006E084E">
            <w:pPr>
              <w:spacing w:before="120" w:after="0" w:line="240" w:lineRule="auto"/>
              <w:jc w:val="center"/>
              <w:rPr>
                <w:rFonts w:eastAsia="Times New Roman" w:cs="Times New Roman"/>
                <w:color w:val="000000"/>
                <w:sz w:val="20"/>
              </w:rPr>
            </w:pPr>
            <w:r w:rsidRPr="006E084E">
              <w:rPr>
                <w:rFonts w:eastAsia="Times New Roman" w:cs="Times New Roman"/>
                <w:color w:val="000000"/>
                <w:sz w:val="20"/>
                <w:lang w:val="vi-VN"/>
              </w:rPr>
              <w:t>Số</w:t>
            </w:r>
            <w:r w:rsidRPr="006E084E">
              <w:rPr>
                <w:rFonts w:eastAsia="Times New Roman" w:cs="Times New Roman"/>
                <w:color w:val="000000"/>
                <w:sz w:val="20"/>
              </w:rPr>
              <w:t xml:space="preserve"> …../……</w:t>
            </w:r>
          </w:p>
        </w:tc>
        <w:tc>
          <w:tcPr>
            <w:tcW w:w="5508" w:type="dxa"/>
            <w:tcMar>
              <w:top w:w="0" w:type="dxa"/>
              <w:left w:w="108" w:type="dxa"/>
              <w:bottom w:w="0" w:type="dxa"/>
              <w:right w:w="108" w:type="dxa"/>
            </w:tcMar>
            <w:hideMark/>
          </w:tcPr>
          <w:p w:rsidR="006E084E" w:rsidRPr="006E084E" w:rsidRDefault="006E084E" w:rsidP="006E084E">
            <w:pPr>
              <w:spacing w:before="120" w:after="0" w:line="240" w:lineRule="auto"/>
              <w:jc w:val="right"/>
              <w:rPr>
                <w:rFonts w:eastAsia="Times New Roman" w:cs="Times New Roman"/>
                <w:color w:val="000000"/>
                <w:sz w:val="20"/>
              </w:rPr>
            </w:pPr>
            <w:r w:rsidRPr="006E084E">
              <w:rPr>
                <w:rFonts w:eastAsia="Times New Roman" w:cs="Times New Roman"/>
                <w:i/>
                <w:iCs/>
                <w:color w:val="000000"/>
                <w:sz w:val="20"/>
                <w:lang w:val="vi-VN"/>
              </w:rPr>
              <w:t>Địa danh, ngày.... tháng... năm ....</w:t>
            </w:r>
          </w:p>
        </w:tc>
      </w:tr>
    </w:tbl>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w:t>
      </w:r>
    </w:p>
    <w:p w:rsidR="006E084E" w:rsidRPr="006E084E" w:rsidRDefault="006E084E" w:rsidP="006E084E">
      <w:pPr>
        <w:spacing w:before="120" w:after="0" w:line="240" w:lineRule="auto"/>
        <w:jc w:val="center"/>
        <w:rPr>
          <w:rFonts w:eastAsia="Times New Roman" w:cs="Times New Roman"/>
          <w:color w:val="000000"/>
          <w:sz w:val="20"/>
        </w:rPr>
      </w:pPr>
      <w:r w:rsidRPr="006E084E">
        <w:rPr>
          <w:rFonts w:eastAsia="Times New Roman" w:cs="Times New Roman"/>
          <w:b/>
          <w:bCs/>
          <w:color w:val="000000"/>
          <w:sz w:val="20"/>
          <w:lang w:val="vi-VN"/>
        </w:rPr>
        <w:t>BÁO CÁO</w:t>
      </w:r>
      <w:r w:rsidRPr="006E084E">
        <w:rPr>
          <w:rFonts w:eastAsia="Times New Roman" w:cs="Times New Roman"/>
          <w:b/>
          <w:bCs/>
          <w:color w:val="000000"/>
          <w:sz w:val="20"/>
        </w:rPr>
        <w:br/>
      </w:r>
      <w:r w:rsidRPr="006E084E">
        <w:rPr>
          <w:rFonts w:eastAsia="Times New Roman" w:cs="Times New Roman"/>
          <w:b/>
          <w:bCs/>
          <w:color w:val="000000"/>
          <w:sz w:val="20"/>
          <w:lang w:val="vi-VN"/>
        </w:rPr>
        <w:t>TÌNH HÌNH QUẢN LÝ NHÀ NƯỚC VỀ KHOÁNG SẢN</w:t>
      </w:r>
      <w:r w:rsidRPr="006E084E">
        <w:rPr>
          <w:rFonts w:eastAsia="Times New Roman" w:cs="Times New Roman"/>
          <w:b/>
          <w:bCs/>
          <w:color w:val="000000"/>
          <w:sz w:val="20"/>
        </w:rPr>
        <w:br/>
      </w:r>
      <w:r w:rsidRPr="006E084E">
        <w:rPr>
          <w:rFonts w:eastAsia="Times New Roman" w:cs="Times New Roman"/>
          <w:b/>
          <w:bCs/>
          <w:color w:val="000000"/>
          <w:sz w:val="20"/>
          <w:lang w:val="vi-VN"/>
        </w:rPr>
        <w:t>NĂM....</w:t>
      </w:r>
    </w:p>
    <w:p w:rsidR="006E084E" w:rsidRPr="006E084E" w:rsidRDefault="006E084E" w:rsidP="006E084E">
      <w:pPr>
        <w:spacing w:before="120" w:after="0" w:line="240" w:lineRule="auto"/>
        <w:jc w:val="center"/>
        <w:rPr>
          <w:rFonts w:eastAsia="Times New Roman" w:cs="Times New Roman"/>
          <w:color w:val="000000"/>
          <w:sz w:val="20"/>
        </w:rPr>
      </w:pPr>
      <w:r w:rsidRPr="006E084E">
        <w:rPr>
          <w:rFonts w:eastAsia="Times New Roman" w:cs="Times New Roman"/>
          <w:color w:val="000000"/>
          <w:sz w:val="20"/>
          <w:lang w:val="vi-VN"/>
        </w:rPr>
        <w:t>Kính gửi: Bộ Tài nguyên và Môi trường</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I. CÔNG TÁC QUẢN LÝ NHÀ NƯỚC VỀ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color w:val="000000"/>
          <w:sz w:val="20"/>
        </w:rPr>
        <w:t xml:space="preserve">1. </w:t>
      </w:r>
      <w:r w:rsidRPr="006E084E">
        <w:rPr>
          <w:rFonts w:eastAsia="Times New Roman" w:cs="Times New Roman"/>
          <w:b/>
          <w:bCs/>
          <w:color w:val="000000"/>
          <w:sz w:val="20"/>
          <w:lang w:val="vi-VN"/>
        </w:rPr>
        <w:t>Công tác ban hành văn bản quản lý và tuyên truyền phổ biến pháp luật về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i/>
          <w:iCs/>
          <w:color w:val="000000"/>
          <w:sz w:val="20"/>
        </w:rPr>
        <w:t xml:space="preserve">1.1. </w:t>
      </w:r>
      <w:r w:rsidRPr="006E084E">
        <w:rPr>
          <w:rFonts w:eastAsia="Times New Roman" w:cs="Times New Roman"/>
          <w:b/>
          <w:bCs/>
          <w:i/>
          <w:iCs/>
          <w:color w:val="000000"/>
          <w:sz w:val="20"/>
          <w:lang w:val="vi-VN"/>
        </w:rPr>
        <w:t>Các văn bản quản lý đã ban hành</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i/>
          <w:iCs/>
          <w:color w:val="000000"/>
          <w:sz w:val="20"/>
        </w:rPr>
        <w:t xml:space="preserve">1.2. </w:t>
      </w:r>
      <w:r w:rsidRPr="006E084E">
        <w:rPr>
          <w:rFonts w:eastAsia="Times New Roman" w:cs="Times New Roman"/>
          <w:b/>
          <w:bCs/>
          <w:i/>
          <w:iCs/>
          <w:color w:val="000000"/>
          <w:sz w:val="20"/>
          <w:lang w:val="vi-VN"/>
        </w:rPr>
        <w:t>Công tác tuyên truyền, phổ biến pháp luật về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color w:val="000000"/>
          <w:sz w:val="20"/>
        </w:rPr>
        <w:t xml:space="preserve">2. </w:t>
      </w:r>
      <w:r w:rsidRPr="006E084E">
        <w:rPr>
          <w:rFonts w:eastAsia="Times New Roman" w:cs="Times New Roman"/>
          <w:b/>
          <w:bCs/>
          <w:color w:val="000000"/>
          <w:sz w:val="20"/>
          <w:lang w:val="vi-VN"/>
        </w:rPr>
        <w:t>Công tác lập, phê duyệt quy ho</w:t>
      </w:r>
      <w:r w:rsidRPr="006E084E">
        <w:rPr>
          <w:rFonts w:eastAsia="Times New Roman" w:cs="Times New Roman"/>
          <w:b/>
          <w:bCs/>
          <w:color w:val="000000"/>
          <w:sz w:val="20"/>
        </w:rPr>
        <w:t>ạ</w:t>
      </w:r>
      <w:r w:rsidRPr="006E084E">
        <w:rPr>
          <w:rFonts w:eastAsia="Times New Roman" w:cs="Times New Roman"/>
          <w:b/>
          <w:bCs/>
          <w:color w:val="000000"/>
          <w:sz w:val="20"/>
          <w:lang w:val="vi-VN"/>
        </w:rPr>
        <w:t>ch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color w:val="000000"/>
          <w:sz w:val="20"/>
        </w:rPr>
        <w:t xml:space="preserve">3. </w:t>
      </w:r>
      <w:r w:rsidRPr="006E084E">
        <w:rPr>
          <w:rFonts w:eastAsia="Times New Roman" w:cs="Times New Roman"/>
          <w:b/>
          <w:bCs/>
          <w:color w:val="000000"/>
          <w:sz w:val="20"/>
          <w:lang w:val="vi-VN"/>
        </w:rPr>
        <w:t>Công tác cấp phép hoạt động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i/>
          <w:iCs/>
          <w:color w:val="000000"/>
          <w:sz w:val="20"/>
        </w:rPr>
        <w:t xml:space="preserve">3.1. </w:t>
      </w:r>
      <w:r w:rsidRPr="006E084E">
        <w:rPr>
          <w:rFonts w:eastAsia="Times New Roman" w:cs="Times New Roman"/>
          <w:b/>
          <w:bCs/>
          <w:i/>
          <w:iCs/>
          <w:color w:val="000000"/>
          <w:sz w:val="20"/>
          <w:lang w:val="vi-VN"/>
        </w:rPr>
        <w:t>Công tác tổ chức đ</w:t>
      </w:r>
      <w:r w:rsidRPr="006E084E">
        <w:rPr>
          <w:rFonts w:eastAsia="Times New Roman" w:cs="Times New Roman"/>
          <w:b/>
          <w:bCs/>
          <w:i/>
          <w:iCs/>
          <w:color w:val="000000"/>
          <w:sz w:val="20"/>
        </w:rPr>
        <w:t>ấ</w:t>
      </w:r>
      <w:r w:rsidRPr="006E084E">
        <w:rPr>
          <w:rFonts w:eastAsia="Times New Roman" w:cs="Times New Roman"/>
          <w:b/>
          <w:bCs/>
          <w:i/>
          <w:iCs/>
          <w:color w:val="000000"/>
          <w:sz w:val="20"/>
          <w:lang w:val="vi-VN"/>
        </w:rPr>
        <w:t>u giá quyền khai thác kho</w:t>
      </w:r>
      <w:r w:rsidRPr="006E084E">
        <w:rPr>
          <w:rFonts w:eastAsia="Times New Roman" w:cs="Times New Roman"/>
          <w:b/>
          <w:bCs/>
          <w:i/>
          <w:iCs/>
          <w:color w:val="000000"/>
          <w:sz w:val="20"/>
        </w:rPr>
        <w:t>á</w:t>
      </w:r>
      <w:r w:rsidRPr="006E084E">
        <w:rPr>
          <w:rFonts w:eastAsia="Times New Roman" w:cs="Times New Roman"/>
          <w:b/>
          <w:bCs/>
          <w:i/>
          <w:iCs/>
          <w:color w:val="000000"/>
          <w:sz w:val="20"/>
          <w:lang w:val="vi-VN"/>
        </w:rPr>
        <w:t>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i/>
          <w:iCs/>
          <w:color w:val="000000"/>
          <w:sz w:val="20"/>
        </w:rPr>
        <w:t xml:space="preserve">3.2. </w:t>
      </w:r>
      <w:r w:rsidRPr="006E084E">
        <w:rPr>
          <w:rFonts w:eastAsia="Times New Roman" w:cs="Times New Roman"/>
          <w:b/>
          <w:bCs/>
          <w:i/>
          <w:iCs/>
          <w:color w:val="000000"/>
          <w:sz w:val="20"/>
          <w:lang w:val="vi-VN"/>
        </w:rPr>
        <w:t>Công tác tiếp nhận, thẩm định hồ sơ cấp phép hoạ</w:t>
      </w:r>
      <w:r w:rsidRPr="006E084E">
        <w:rPr>
          <w:rFonts w:eastAsia="Times New Roman" w:cs="Times New Roman"/>
          <w:b/>
          <w:bCs/>
          <w:i/>
          <w:iCs/>
          <w:color w:val="000000"/>
          <w:sz w:val="20"/>
        </w:rPr>
        <w:t>t</w:t>
      </w:r>
      <w:r w:rsidRPr="006E084E">
        <w:rPr>
          <w:rFonts w:eastAsia="Times New Roman" w:cs="Times New Roman"/>
          <w:b/>
          <w:bCs/>
          <w:i/>
          <w:iCs/>
          <w:color w:val="000000"/>
          <w:sz w:val="20"/>
          <w:lang w:val="vi-VN"/>
        </w:rPr>
        <w:t xml:space="preserve"> động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lang w:val="vi-VN"/>
        </w:rPr>
        <w:t xml:space="preserve">Các biểu mẫu tổng hợp về Giấy phép thăm dò khoáng sản, Giấy phép khai thác khoáng sản lập theo </w:t>
      </w:r>
      <w:r w:rsidRPr="006E084E">
        <w:rPr>
          <w:rFonts w:eastAsia="Times New Roman" w:cs="Times New Roman"/>
          <w:i/>
          <w:iCs/>
          <w:color w:val="000000"/>
          <w:sz w:val="20"/>
          <w:lang w:val="vi-VN"/>
        </w:rPr>
        <w:t>mẫu s</w:t>
      </w:r>
      <w:r w:rsidRPr="006E084E">
        <w:rPr>
          <w:rFonts w:eastAsia="Times New Roman" w:cs="Times New Roman"/>
          <w:i/>
          <w:iCs/>
          <w:color w:val="000000"/>
          <w:sz w:val="20"/>
        </w:rPr>
        <w:t>ố</w:t>
      </w:r>
      <w:r w:rsidRPr="006E084E">
        <w:rPr>
          <w:rFonts w:eastAsia="Times New Roman" w:cs="Times New Roman"/>
          <w:i/>
          <w:iCs/>
          <w:color w:val="000000"/>
          <w:sz w:val="20"/>
          <w:lang w:val="vi-VN"/>
        </w:rPr>
        <w:t xml:space="preserve"> 35 và 36.</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i/>
          <w:iCs/>
          <w:color w:val="000000"/>
          <w:sz w:val="20"/>
        </w:rPr>
        <w:t xml:space="preserve">3.3. </w:t>
      </w:r>
      <w:r w:rsidRPr="006E084E">
        <w:rPr>
          <w:rFonts w:eastAsia="Times New Roman" w:cs="Times New Roman"/>
          <w:b/>
          <w:bCs/>
          <w:i/>
          <w:iCs/>
          <w:color w:val="000000"/>
          <w:sz w:val="20"/>
          <w:lang w:val="vi-VN"/>
        </w:rPr>
        <w:t>Công tác thu ti</w:t>
      </w:r>
      <w:r w:rsidRPr="006E084E">
        <w:rPr>
          <w:rFonts w:eastAsia="Times New Roman" w:cs="Times New Roman"/>
          <w:b/>
          <w:bCs/>
          <w:i/>
          <w:iCs/>
          <w:color w:val="000000"/>
          <w:sz w:val="20"/>
        </w:rPr>
        <w:t>ề</w:t>
      </w:r>
      <w:r w:rsidRPr="006E084E">
        <w:rPr>
          <w:rFonts w:eastAsia="Times New Roman" w:cs="Times New Roman"/>
          <w:b/>
          <w:bCs/>
          <w:i/>
          <w:iCs/>
          <w:color w:val="000000"/>
          <w:sz w:val="20"/>
          <w:lang w:val="vi-VN"/>
        </w:rPr>
        <w:t>n cấp quyền khai thác khoáng sản/tiền trúng đ</w:t>
      </w:r>
      <w:r w:rsidRPr="006E084E">
        <w:rPr>
          <w:rFonts w:eastAsia="Times New Roman" w:cs="Times New Roman"/>
          <w:b/>
          <w:bCs/>
          <w:i/>
          <w:iCs/>
          <w:color w:val="000000"/>
          <w:sz w:val="20"/>
        </w:rPr>
        <w:t>ấ</w:t>
      </w:r>
      <w:r w:rsidRPr="006E084E">
        <w:rPr>
          <w:rFonts w:eastAsia="Times New Roman" w:cs="Times New Roman"/>
          <w:b/>
          <w:bCs/>
          <w:i/>
          <w:iCs/>
          <w:color w:val="000000"/>
          <w:sz w:val="20"/>
          <w:lang w:val="vi-VN"/>
        </w:rPr>
        <w:t>u gi</w:t>
      </w:r>
      <w:r w:rsidRPr="006E084E">
        <w:rPr>
          <w:rFonts w:eastAsia="Times New Roman" w:cs="Times New Roman"/>
          <w:b/>
          <w:bCs/>
          <w:i/>
          <w:iCs/>
          <w:color w:val="000000"/>
          <w:sz w:val="20"/>
        </w:rPr>
        <w:t>á</w:t>
      </w:r>
      <w:r w:rsidRPr="006E084E">
        <w:rPr>
          <w:rFonts w:eastAsia="Times New Roman" w:cs="Times New Roman"/>
          <w:b/>
          <w:bCs/>
          <w:i/>
          <w:iCs/>
          <w:color w:val="000000"/>
          <w:sz w:val="20"/>
          <w:lang w:val="vi-VN"/>
        </w:rPr>
        <w:t xml:space="preserve"> quyền khai thác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color w:val="000000"/>
          <w:sz w:val="20"/>
        </w:rPr>
        <w:t xml:space="preserve">4. </w:t>
      </w:r>
      <w:r w:rsidRPr="006E084E">
        <w:rPr>
          <w:rFonts w:eastAsia="Times New Roman" w:cs="Times New Roman"/>
          <w:b/>
          <w:bCs/>
          <w:color w:val="000000"/>
          <w:sz w:val="20"/>
          <w:lang w:val="vi-VN"/>
        </w:rPr>
        <w:t>Công tác thanh tra, kiểm tra xử lý vi phạm pháp luật về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color w:val="000000"/>
          <w:sz w:val="20"/>
        </w:rPr>
        <w:t xml:space="preserve">5. </w:t>
      </w:r>
      <w:r w:rsidRPr="006E084E">
        <w:rPr>
          <w:rFonts w:eastAsia="Times New Roman" w:cs="Times New Roman"/>
          <w:b/>
          <w:bCs/>
          <w:color w:val="000000"/>
          <w:sz w:val="20"/>
          <w:lang w:val="vi-VN"/>
        </w:rPr>
        <w:t>Công tác bảo vệ khoáng sản chưa khai thác</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color w:val="000000"/>
          <w:sz w:val="20"/>
        </w:rPr>
        <w:t xml:space="preserve">6. </w:t>
      </w:r>
      <w:r w:rsidRPr="006E084E">
        <w:rPr>
          <w:rFonts w:eastAsia="Times New Roman" w:cs="Times New Roman"/>
          <w:b/>
          <w:bCs/>
          <w:color w:val="000000"/>
          <w:sz w:val="20"/>
          <w:lang w:val="vi-VN"/>
        </w:rPr>
        <w:t>Đánh giá chung về thuận l</w:t>
      </w:r>
      <w:r w:rsidRPr="006E084E">
        <w:rPr>
          <w:rFonts w:eastAsia="Times New Roman" w:cs="Times New Roman"/>
          <w:b/>
          <w:bCs/>
          <w:color w:val="000000"/>
          <w:sz w:val="20"/>
        </w:rPr>
        <w:t>ợ</w:t>
      </w:r>
      <w:r w:rsidRPr="006E084E">
        <w:rPr>
          <w:rFonts w:eastAsia="Times New Roman" w:cs="Times New Roman"/>
          <w:b/>
          <w:bCs/>
          <w:color w:val="000000"/>
          <w:sz w:val="20"/>
          <w:lang w:val="vi-VN"/>
        </w:rPr>
        <w:t>i, khó khăn và tồn tại</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II. </w:t>
      </w:r>
      <w:r w:rsidRPr="006E084E">
        <w:rPr>
          <w:rFonts w:eastAsia="Times New Roman" w:cs="Times New Roman"/>
          <w:color w:val="000000"/>
          <w:sz w:val="20"/>
          <w:lang w:val="vi-VN"/>
        </w:rPr>
        <w:t>TÌNH HÌNH HOẠT ĐỘNG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color w:val="000000"/>
          <w:sz w:val="20"/>
        </w:rPr>
        <w:t xml:space="preserve">1. </w:t>
      </w:r>
      <w:r w:rsidRPr="006E084E">
        <w:rPr>
          <w:rFonts w:eastAsia="Times New Roman" w:cs="Times New Roman"/>
          <w:b/>
          <w:bCs/>
          <w:color w:val="000000"/>
          <w:sz w:val="20"/>
          <w:lang w:val="vi-VN"/>
        </w:rPr>
        <w:t>Công tác thăm dò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i/>
          <w:iCs/>
          <w:color w:val="000000"/>
          <w:sz w:val="20"/>
        </w:rPr>
        <w:t xml:space="preserve">- </w:t>
      </w:r>
      <w:r w:rsidRPr="006E084E">
        <w:rPr>
          <w:rFonts w:eastAsia="Times New Roman" w:cs="Times New Roman"/>
          <w:i/>
          <w:iCs/>
          <w:color w:val="000000"/>
          <w:sz w:val="20"/>
          <w:lang w:val="vi-VN"/>
        </w:rPr>
        <w:t>Tổng s</w:t>
      </w:r>
      <w:r w:rsidRPr="006E084E">
        <w:rPr>
          <w:rFonts w:eastAsia="Times New Roman" w:cs="Times New Roman"/>
          <w:i/>
          <w:iCs/>
          <w:color w:val="000000"/>
          <w:sz w:val="20"/>
        </w:rPr>
        <w:t>ố</w:t>
      </w:r>
      <w:r w:rsidRPr="006E084E">
        <w:rPr>
          <w:rFonts w:eastAsia="Times New Roman" w:cs="Times New Roman"/>
          <w:i/>
          <w:iCs/>
          <w:color w:val="000000"/>
          <w:sz w:val="20"/>
          <w:lang w:val="vi-VN"/>
        </w:rPr>
        <w:t xml:space="preserve"> Giấy phép thăm dò còn hiệu lực trên địa bàn tỉnh đến thời điểm b</w:t>
      </w:r>
      <w:r w:rsidRPr="006E084E">
        <w:rPr>
          <w:rFonts w:eastAsia="Times New Roman" w:cs="Times New Roman"/>
          <w:i/>
          <w:iCs/>
          <w:color w:val="000000"/>
          <w:sz w:val="20"/>
        </w:rPr>
        <w:t>á</w:t>
      </w:r>
      <w:r w:rsidRPr="006E084E">
        <w:rPr>
          <w:rFonts w:eastAsia="Times New Roman" w:cs="Times New Roman"/>
          <w:i/>
          <w:iCs/>
          <w:color w:val="000000"/>
          <w:sz w:val="20"/>
          <w:lang w:val="vi-VN"/>
        </w:rPr>
        <w:t>o cáo (nêu rõ Gi</w:t>
      </w:r>
      <w:r w:rsidRPr="006E084E">
        <w:rPr>
          <w:rFonts w:eastAsia="Times New Roman" w:cs="Times New Roman"/>
          <w:i/>
          <w:iCs/>
          <w:color w:val="000000"/>
          <w:sz w:val="20"/>
        </w:rPr>
        <w:t>ấ</w:t>
      </w:r>
      <w:r w:rsidRPr="006E084E">
        <w:rPr>
          <w:rFonts w:eastAsia="Times New Roman" w:cs="Times New Roman"/>
          <w:i/>
          <w:iCs/>
          <w:color w:val="000000"/>
          <w:sz w:val="20"/>
          <w:lang w:val="vi-VN"/>
        </w:rPr>
        <w:t>y phép Bộ cấp, tỉnh cấp, nhóm, loại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color w:val="000000"/>
          <w:sz w:val="20"/>
          <w:lang w:val="vi-VN"/>
        </w:rPr>
        <w:t>Tổng hợp số lượng Giấy phép thăm dò khoáng sản triển khai trên địa bàn tỉnh/thành phố trong năm báo cáo (do Bộ/tỉnh thành phố cấp phép)</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i/>
          <w:iCs/>
          <w:color w:val="000000"/>
          <w:sz w:val="20"/>
        </w:rPr>
        <w:t xml:space="preserve">- </w:t>
      </w:r>
      <w:r w:rsidRPr="006E084E">
        <w:rPr>
          <w:rFonts w:eastAsia="Times New Roman" w:cs="Times New Roman"/>
          <w:i/>
          <w:iCs/>
          <w:color w:val="000000"/>
          <w:sz w:val="20"/>
          <w:lang w:val="vi-VN"/>
        </w:rPr>
        <w:t>S</w:t>
      </w:r>
      <w:r w:rsidRPr="006E084E">
        <w:rPr>
          <w:rFonts w:eastAsia="Times New Roman" w:cs="Times New Roman"/>
          <w:i/>
          <w:iCs/>
          <w:color w:val="000000"/>
          <w:sz w:val="20"/>
        </w:rPr>
        <w:t>ố</w:t>
      </w:r>
      <w:r w:rsidRPr="006E084E">
        <w:rPr>
          <w:rFonts w:eastAsia="Times New Roman" w:cs="Times New Roman"/>
          <w:i/>
          <w:iCs/>
          <w:color w:val="000000"/>
          <w:sz w:val="20"/>
          <w:lang w:val="vi-VN"/>
        </w:rPr>
        <w:t xml:space="preserve"> giấy phép thăm dò hết hạn trong năm báo cáo đang đề nghị gia hạn. S</w:t>
      </w:r>
      <w:r w:rsidRPr="006E084E">
        <w:rPr>
          <w:rFonts w:eastAsia="Times New Roman" w:cs="Times New Roman"/>
          <w:i/>
          <w:iCs/>
          <w:color w:val="000000"/>
          <w:sz w:val="20"/>
        </w:rPr>
        <w:t>ố</w:t>
      </w:r>
      <w:r w:rsidRPr="006E084E">
        <w:rPr>
          <w:rFonts w:eastAsia="Times New Roman" w:cs="Times New Roman"/>
          <w:i/>
          <w:iCs/>
          <w:color w:val="000000"/>
          <w:sz w:val="20"/>
          <w:lang w:val="vi-VN"/>
        </w:rPr>
        <w:t xml:space="preserve"> gi</w:t>
      </w:r>
      <w:r w:rsidRPr="006E084E">
        <w:rPr>
          <w:rFonts w:eastAsia="Times New Roman" w:cs="Times New Roman"/>
          <w:i/>
          <w:iCs/>
          <w:color w:val="000000"/>
          <w:sz w:val="20"/>
        </w:rPr>
        <w:t>ấ</w:t>
      </w:r>
      <w:r w:rsidRPr="006E084E">
        <w:rPr>
          <w:rFonts w:eastAsia="Times New Roman" w:cs="Times New Roman"/>
          <w:i/>
          <w:iCs/>
          <w:color w:val="000000"/>
          <w:sz w:val="20"/>
          <w:lang w:val="vi-VN"/>
        </w:rPr>
        <w:t>y phép thăm dò hết hạn trong năm báo cáo đang lập hồ sơ đ</w:t>
      </w:r>
      <w:r w:rsidRPr="006E084E">
        <w:rPr>
          <w:rFonts w:eastAsia="Times New Roman" w:cs="Times New Roman"/>
          <w:i/>
          <w:iCs/>
          <w:color w:val="000000"/>
          <w:sz w:val="20"/>
        </w:rPr>
        <w:t>ề</w:t>
      </w:r>
      <w:r w:rsidRPr="006E084E">
        <w:rPr>
          <w:rFonts w:eastAsia="Times New Roman" w:cs="Times New Roman"/>
          <w:i/>
          <w:iCs/>
          <w:color w:val="000000"/>
          <w:sz w:val="20"/>
          <w:lang w:val="vi-VN"/>
        </w:rPr>
        <w:t xml:space="preserve"> nghị cấp phép hoặc đã được cấp giấy phép khai thác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color w:val="000000"/>
          <w:sz w:val="20"/>
          <w:lang w:val="vi-VN"/>
        </w:rPr>
        <w:t>Đánh giá về những kết quả đạt được (kèm theo bảng tổng hợp về kết quả thăm dò khoáng sản theo từng giấy phép, biến động trữ lượng khoáng sản đã được thăm dò trong năm báo cáo).</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color w:val="000000"/>
          <w:sz w:val="20"/>
          <w:lang w:val="vi-VN"/>
        </w:rPr>
        <w:t>Những khó khăn và tồn tại của các tổ chức, cá nhân thăm dò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color w:val="000000"/>
          <w:sz w:val="20"/>
          <w:lang w:val="vi-VN"/>
        </w:rPr>
        <w:t xml:space="preserve">Bảng số liệu tổng hợp về thăm dò khoáng sản (lập theo </w:t>
      </w:r>
      <w:r w:rsidRPr="006E084E">
        <w:rPr>
          <w:rFonts w:eastAsia="Times New Roman" w:cs="Times New Roman"/>
          <w:i/>
          <w:iCs/>
          <w:color w:val="000000"/>
          <w:sz w:val="20"/>
          <w:lang w:val="vi-VN"/>
        </w:rPr>
        <w:t>Mẫu số 35</w:t>
      </w:r>
      <w:r w:rsidRPr="006E084E">
        <w:rPr>
          <w:rFonts w:eastAsia="Times New Roman" w:cs="Times New Roman"/>
          <w:color w:val="000000"/>
          <w:sz w:val="20"/>
          <w:lang w:val="vi-VN"/>
        </w:rPr>
        <w:t>)</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color w:val="000000"/>
          <w:sz w:val="20"/>
        </w:rPr>
        <w:t xml:space="preserve">2. </w:t>
      </w:r>
      <w:r w:rsidRPr="006E084E">
        <w:rPr>
          <w:rFonts w:eastAsia="Times New Roman" w:cs="Times New Roman"/>
          <w:b/>
          <w:bCs/>
          <w:color w:val="000000"/>
          <w:sz w:val="20"/>
          <w:lang w:val="vi-VN"/>
        </w:rPr>
        <w:t>Công tác khai thác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i/>
          <w:iCs/>
          <w:color w:val="000000"/>
          <w:sz w:val="20"/>
        </w:rPr>
        <w:t xml:space="preserve">- </w:t>
      </w:r>
      <w:r w:rsidRPr="006E084E">
        <w:rPr>
          <w:rFonts w:eastAsia="Times New Roman" w:cs="Times New Roman"/>
          <w:i/>
          <w:iCs/>
          <w:color w:val="000000"/>
          <w:sz w:val="20"/>
          <w:lang w:val="vi-VN"/>
        </w:rPr>
        <w:t>Tổng số Giấy phép khai thác còn hiệu lực trên địa bàn tỉnh đến thời điểm b</w:t>
      </w:r>
      <w:r w:rsidRPr="006E084E">
        <w:rPr>
          <w:rFonts w:eastAsia="Times New Roman" w:cs="Times New Roman"/>
          <w:i/>
          <w:iCs/>
          <w:color w:val="000000"/>
          <w:sz w:val="20"/>
        </w:rPr>
        <w:t>á</w:t>
      </w:r>
      <w:r w:rsidRPr="006E084E">
        <w:rPr>
          <w:rFonts w:eastAsia="Times New Roman" w:cs="Times New Roman"/>
          <w:i/>
          <w:iCs/>
          <w:color w:val="000000"/>
          <w:sz w:val="20"/>
          <w:lang w:val="vi-VN"/>
        </w:rPr>
        <w:t>o cáo (nêu r</w:t>
      </w:r>
      <w:r w:rsidRPr="006E084E">
        <w:rPr>
          <w:rFonts w:eastAsia="Times New Roman" w:cs="Times New Roman"/>
          <w:i/>
          <w:iCs/>
          <w:color w:val="000000"/>
          <w:sz w:val="20"/>
        </w:rPr>
        <w:t>õ</w:t>
      </w:r>
      <w:r w:rsidRPr="006E084E">
        <w:rPr>
          <w:rFonts w:eastAsia="Times New Roman" w:cs="Times New Roman"/>
          <w:i/>
          <w:iCs/>
          <w:color w:val="000000"/>
          <w:sz w:val="20"/>
          <w:lang w:val="vi-VN"/>
        </w:rPr>
        <w:t xml:space="preserve"> Gi</w:t>
      </w:r>
      <w:r w:rsidRPr="006E084E">
        <w:rPr>
          <w:rFonts w:eastAsia="Times New Roman" w:cs="Times New Roman"/>
          <w:i/>
          <w:iCs/>
          <w:color w:val="000000"/>
          <w:sz w:val="20"/>
        </w:rPr>
        <w:t>ấ</w:t>
      </w:r>
      <w:r w:rsidRPr="006E084E">
        <w:rPr>
          <w:rFonts w:eastAsia="Times New Roman" w:cs="Times New Roman"/>
          <w:i/>
          <w:iCs/>
          <w:color w:val="000000"/>
          <w:sz w:val="20"/>
          <w:lang w:val="vi-VN"/>
        </w:rPr>
        <w:t>y phép Bộ cấp, tỉnh cấp, nhóm, loại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color w:val="000000"/>
          <w:sz w:val="20"/>
          <w:lang w:val="vi-VN"/>
        </w:rPr>
        <w:t>Tổng hợp số lượng Giấy phép khai thác khoáng sản (bao gồm cả Giấy phép khai thác tận thu) đã và đang triển khai trên địa bàn tỉnh/thành phố trong năm báo cáo (do Bộ/tỉnh thành phố cấp phép)</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i/>
          <w:iCs/>
          <w:color w:val="000000"/>
          <w:sz w:val="20"/>
          <w:lang w:val="vi-VN"/>
        </w:rPr>
        <w:t>S</w:t>
      </w:r>
      <w:r w:rsidRPr="006E084E">
        <w:rPr>
          <w:rFonts w:eastAsia="Times New Roman" w:cs="Times New Roman"/>
          <w:i/>
          <w:iCs/>
          <w:color w:val="000000"/>
          <w:sz w:val="20"/>
        </w:rPr>
        <w:t>ố</w:t>
      </w:r>
      <w:r w:rsidRPr="006E084E">
        <w:rPr>
          <w:rFonts w:eastAsia="Times New Roman" w:cs="Times New Roman"/>
          <w:i/>
          <w:iCs/>
          <w:color w:val="000000"/>
          <w:sz w:val="20"/>
          <w:lang w:val="vi-VN"/>
        </w:rPr>
        <w:t xml:space="preserve"> Giấy phép khai thác khoáng sản đã hết hạn trong năm báo cáo và đang đề nghị gia hạn. S</w:t>
      </w:r>
      <w:r w:rsidRPr="006E084E">
        <w:rPr>
          <w:rFonts w:eastAsia="Times New Roman" w:cs="Times New Roman"/>
          <w:i/>
          <w:iCs/>
          <w:color w:val="000000"/>
          <w:sz w:val="20"/>
        </w:rPr>
        <w:t>ố</w:t>
      </w:r>
      <w:r w:rsidRPr="006E084E">
        <w:rPr>
          <w:rFonts w:eastAsia="Times New Roman" w:cs="Times New Roman"/>
          <w:i/>
          <w:iCs/>
          <w:color w:val="000000"/>
          <w:sz w:val="20"/>
          <w:lang w:val="vi-VN"/>
        </w:rPr>
        <w:t xml:space="preserve"> Giấy phép khai thác khoáng sản h</w:t>
      </w:r>
      <w:r w:rsidRPr="006E084E">
        <w:rPr>
          <w:rFonts w:eastAsia="Times New Roman" w:cs="Times New Roman"/>
          <w:i/>
          <w:iCs/>
          <w:color w:val="000000"/>
          <w:sz w:val="20"/>
        </w:rPr>
        <w:t>ế</w:t>
      </w:r>
      <w:r w:rsidRPr="006E084E">
        <w:rPr>
          <w:rFonts w:eastAsia="Times New Roman" w:cs="Times New Roman"/>
          <w:i/>
          <w:iCs/>
          <w:color w:val="000000"/>
          <w:sz w:val="20"/>
          <w:lang w:val="vi-VN"/>
        </w:rPr>
        <w:t>t hạn trong năm báo cáo đang làm hồ sơ đóng cửa mỏ hoặc đã có quyết định đ</w:t>
      </w:r>
      <w:r w:rsidRPr="006E084E">
        <w:rPr>
          <w:rFonts w:eastAsia="Times New Roman" w:cs="Times New Roman"/>
          <w:i/>
          <w:iCs/>
          <w:color w:val="000000"/>
          <w:sz w:val="20"/>
        </w:rPr>
        <w:t>ó</w:t>
      </w:r>
      <w:r w:rsidRPr="006E084E">
        <w:rPr>
          <w:rFonts w:eastAsia="Times New Roman" w:cs="Times New Roman"/>
          <w:i/>
          <w:iCs/>
          <w:color w:val="000000"/>
          <w:sz w:val="20"/>
          <w:lang w:val="vi-VN"/>
        </w:rPr>
        <w:t>ng cửa mỏ.</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lastRenderedPageBreak/>
        <w:t xml:space="preserve">- </w:t>
      </w:r>
      <w:r w:rsidRPr="006E084E">
        <w:rPr>
          <w:rFonts w:eastAsia="Times New Roman" w:cs="Times New Roman"/>
          <w:color w:val="000000"/>
          <w:sz w:val="20"/>
          <w:lang w:val="vi-VN"/>
        </w:rPr>
        <w:t>Đánh giá về những kết quả đạt được (kèm theo bảng tổng hợp về kết quả khai thác khoáng sản theo từng giấy phép/loại, nhóm khoáng sản; tổng hợp về biến động trữ lượng khoáng sản đã khai thác trong năm báo cáo).</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color w:val="000000"/>
          <w:sz w:val="20"/>
          <w:lang w:val="vi-VN"/>
        </w:rPr>
        <w:t>Những khó khăn và tồn tại của các tổ chức, cá nhân khai thác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color w:val="000000"/>
          <w:sz w:val="20"/>
          <w:lang w:val="vi-VN"/>
        </w:rPr>
        <w:t xml:space="preserve">Bảng số liệu tổng hợp về khai thác khoáng sản (lập theo </w:t>
      </w:r>
      <w:r w:rsidRPr="006E084E">
        <w:rPr>
          <w:rFonts w:eastAsia="Times New Roman" w:cs="Times New Roman"/>
          <w:i/>
          <w:iCs/>
          <w:color w:val="000000"/>
          <w:sz w:val="20"/>
          <w:lang w:val="vi-VN"/>
        </w:rPr>
        <w:t>Mẫu số 36</w:t>
      </w:r>
      <w:r w:rsidRPr="006E084E">
        <w:rPr>
          <w:rFonts w:eastAsia="Times New Roman" w:cs="Times New Roman"/>
          <w:color w:val="000000"/>
          <w:sz w:val="20"/>
          <w:lang w:val="vi-VN"/>
        </w:rPr>
        <w:t>)</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b/>
          <w:bCs/>
          <w:color w:val="000000"/>
          <w:sz w:val="20"/>
        </w:rPr>
        <w:t xml:space="preserve">3. </w:t>
      </w:r>
      <w:r w:rsidRPr="006E084E">
        <w:rPr>
          <w:rFonts w:eastAsia="Times New Roman" w:cs="Times New Roman"/>
          <w:b/>
          <w:bCs/>
          <w:color w:val="000000"/>
          <w:sz w:val="20"/>
          <w:lang w:val="vi-VN"/>
        </w:rPr>
        <w:t>Tình hình thực hiện nghĩa vụ tài chính của tổ chức, cá nhân khai thác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lang w:val="vi-VN"/>
        </w:rPr>
        <w:t>Tổng số tiền đã thực hiện:</w:t>
      </w:r>
      <w:r w:rsidRPr="006E084E">
        <w:rPr>
          <w:rFonts w:eastAsia="Times New Roman" w:cs="Times New Roman"/>
          <w:color w:val="000000"/>
          <w:sz w:val="20"/>
        </w:rPr>
        <w:t>……………………………</w:t>
      </w:r>
      <w:r w:rsidRPr="006E084E">
        <w:rPr>
          <w:rFonts w:eastAsia="Times New Roman" w:cs="Times New Roman"/>
          <w:color w:val="000000"/>
          <w:sz w:val="20"/>
          <w:lang w:val="vi-VN"/>
        </w:rPr>
        <w:t>đồng,</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lang w:val="vi-VN"/>
        </w:rPr>
        <w:t>Trong đó:</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color w:val="000000"/>
          <w:sz w:val="20"/>
          <w:lang w:val="vi-VN"/>
        </w:rPr>
        <w:t xml:space="preserve">Thuế tài nguyên: </w:t>
      </w:r>
      <w:r w:rsidRPr="006E084E">
        <w:rPr>
          <w:rFonts w:eastAsia="Times New Roman" w:cs="Times New Roman"/>
          <w:color w:val="000000"/>
          <w:sz w:val="20"/>
        </w:rPr>
        <w:t>…………………………………………</w:t>
      </w:r>
      <w:r w:rsidRPr="006E084E">
        <w:rPr>
          <w:rFonts w:eastAsia="Times New Roman" w:cs="Times New Roman"/>
          <w:color w:val="000000"/>
          <w:sz w:val="20"/>
          <w:lang w:val="vi-VN"/>
        </w:rPr>
        <w:t>đồng</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color w:val="000000"/>
          <w:sz w:val="20"/>
          <w:lang w:val="vi-VN"/>
        </w:rPr>
        <w:t xml:space="preserve">Thuế xuất khẩu (nếu có): </w:t>
      </w:r>
      <w:r w:rsidRPr="006E084E">
        <w:rPr>
          <w:rFonts w:eastAsia="Times New Roman" w:cs="Times New Roman"/>
          <w:color w:val="000000"/>
          <w:sz w:val="20"/>
        </w:rPr>
        <w:t>………………………………..</w:t>
      </w:r>
      <w:r w:rsidRPr="006E084E">
        <w:rPr>
          <w:rFonts w:eastAsia="Times New Roman" w:cs="Times New Roman"/>
          <w:color w:val="000000"/>
          <w:sz w:val="20"/>
          <w:lang w:val="vi-VN"/>
        </w:rPr>
        <w:t>đồng</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color w:val="000000"/>
          <w:sz w:val="20"/>
          <w:lang w:val="vi-VN"/>
        </w:rPr>
        <w:t xml:space="preserve">Phí bảo vệ môi trường: </w:t>
      </w:r>
      <w:r w:rsidRPr="006E084E">
        <w:rPr>
          <w:rFonts w:eastAsia="Times New Roman" w:cs="Times New Roman"/>
          <w:color w:val="000000"/>
          <w:sz w:val="20"/>
        </w:rPr>
        <w:t>………………………………….</w:t>
      </w:r>
      <w:r w:rsidRPr="006E084E">
        <w:rPr>
          <w:rFonts w:eastAsia="Times New Roman" w:cs="Times New Roman"/>
          <w:color w:val="000000"/>
          <w:sz w:val="20"/>
          <w:lang w:val="vi-VN"/>
        </w:rPr>
        <w:t>đồng</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 </w:t>
      </w:r>
      <w:r w:rsidRPr="006E084E">
        <w:rPr>
          <w:rFonts w:eastAsia="Times New Roman" w:cs="Times New Roman"/>
          <w:color w:val="000000"/>
          <w:sz w:val="20"/>
          <w:lang w:val="vi-VN"/>
        </w:rPr>
        <w:t>Tổng số tiền ký quỹ phục hồi môi trường trong khai thác đã thực hiện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lang w:val="vi-VN"/>
        </w:rPr>
        <w:t>Số tiền đã nộp:</w:t>
      </w:r>
      <w:r w:rsidRPr="006E084E">
        <w:rPr>
          <w:rFonts w:eastAsia="Times New Roman" w:cs="Times New Roman"/>
          <w:color w:val="000000"/>
          <w:sz w:val="20"/>
        </w:rPr>
        <w:t xml:space="preserve">………….. </w:t>
      </w:r>
      <w:r w:rsidRPr="006E084E">
        <w:rPr>
          <w:rFonts w:eastAsia="Times New Roman" w:cs="Times New Roman"/>
          <w:color w:val="000000"/>
          <w:sz w:val="20"/>
          <w:lang w:val="vi-VN"/>
        </w:rPr>
        <w:t xml:space="preserve">đồng/Tổng số tiền phải nộp: </w:t>
      </w:r>
      <w:r w:rsidRPr="006E084E">
        <w:rPr>
          <w:rFonts w:eastAsia="Times New Roman" w:cs="Times New Roman"/>
          <w:color w:val="000000"/>
          <w:sz w:val="20"/>
        </w:rPr>
        <w:t>………………</w:t>
      </w:r>
      <w:r w:rsidRPr="006E084E">
        <w:rPr>
          <w:rFonts w:eastAsia="Times New Roman" w:cs="Times New Roman"/>
          <w:color w:val="000000"/>
          <w:sz w:val="20"/>
          <w:lang w:val="vi-VN"/>
        </w:rPr>
        <w:t>đồng.</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III. </w:t>
      </w:r>
      <w:r w:rsidRPr="006E084E">
        <w:rPr>
          <w:rFonts w:eastAsia="Times New Roman" w:cs="Times New Roman"/>
          <w:color w:val="000000"/>
          <w:sz w:val="20"/>
          <w:lang w:val="vi-VN"/>
        </w:rPr>
        <w:t>TÌNH HÌNH THỰC HIỆN TRÁCH NHIỆM XÃ HỘI ĐỐI VỚI CỘNG ĐỒNG NƠI KHAI THÁC KHOÁNG SẢN</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1. </w:t>
      </w:r>
      <w:r w:rsidRPr="006E084E">
        <w:rPr>
          <w:rFonts w:eastAsia="Times New Roman" w:cs="Times New Roman"/>
          <w:color w:val="000000"/>
          <w:sz w:val="20"/>
          <w:lang w:val="vi-VN"/>
        </w:rPr>
        <w:t>Công tác bồi thường, hỗ trợ tái định cư cho tổ chức, cá nhân đang sử dụng đất bị thu hồi để thực hiện dự án khai thác khoáng sản</w:t>
      </w:r>
      <w:r w:rsidRPr="006E084E">
        <w:rPr>
          <w:rFonts w:eastAsia="Times New Roman" w:cs="Times New Roman"/>
          <w:color w:val="000000"/>
          <w:sz w:val="20"/>
        </w:rPr>
        <w:t>………….</w:t>
      </w:r>
      <w:r w:rsidRPr="006E084E">
        <w:rPr>
          <w:rFonts w:eastAsia="Times New Roman" w:cs="Times New Roman"/>
          <w:color w:val="000000"/>
          <w:sz w:val="20"/>
          <w:lang w:val="vi-VN"/>
        </w:rPr>
        <w:t>;</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2. </w:t>
      </w:r>
      <w:r w:rsidRPr="006E084E">
        <w:rPr>
          <w:rFonts w:eastAsia="Times New Roman" w:cs="Times New Roman"/>
          <w:color w:val="000000"/>
          <w:sz w:val="20"/>
          <w:lang w:val="vi-VN"/>
        </w:rPr>
        <w:t>Số lao động sử dụng và thu nhập bình quân/năm</w:t>
      </w:r>
      <w:r w:rsidRPr="006E084E">
        <w:rPr>
          <w:rFonts w:eastAsia="Times New Roman" w:cs="Times New Roman"/>
          <w:color w:val="000000"/>
          <w:sz w:val="20"/>
        </w:rPr>
        <w:t>………..</w:t>
      </w:r>
      <w:r w:rsidRPr="006E084E">
        <w:rPr>
          <w:rFonts w:eastAsia="Times New Roman" w:cs="Times New Roman"/>
          <w:color w:val="000000"/>
          <w:sz w:val="20"/>
          <w:lang w:val="vi-VN"/>
        </w:rPr>
        <w:t>;</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3. </w:t>
      </w:r>
      <w:r w:rsidRPr="006E084E">
        <w:rPr>
          <w:rFonts w:eastAsia="Times New Roman" w:cs="Times New Roman"/>
          <w:color w:val="000000"/>
          <w:sz w:val="20"/>
          <w:lang w:val="vi-VN"/>
        </w:rPr>
        <w:t>Xây dựng hạ tầng kỹ thuật (đường sá, cầu cống...)</w:t>
      </w:r>
      <w:r w:rsidRPr="006E084E">
        <w:rPr>
          <w:rFonts w:eastAsia="Times New Roman" w:cs="Times New Roman"/>
          <w:color w:val="000000"/>
          <w:sz w:val="20"/>
        </w:rPr>
        <w:t>…..</w:t>
      </w:r>
      <w:r w:rsidRPr="006E084E">
        <w:rPr>
          <w:rFonts w:eastAsia="Times New Roman" w:cs="Times New Roman"/>
          <w:color w:val="000000"/>
          <w:sz w:val="20"/>
          <w:lang w:val="vi-VN"/>
        </w:rPr>
        <w:t>;</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4. </w:t>
      </w:r>
      <w:r w:rsidRPr="006E084E">
        <w:rPr>
          <w:rFonts w:eastAsia="Times New Roman" w:cs="Times New Roman"/>
          <w:color w:val="000000"/>
          <w:sz w:val="20"/>
          <w:lang w:val="vi-VN"/>
        </w:rPr>
        <w:t>Xây dựng công trình công c</w:t>
      </w:r>
      <w:r w:rsidRPr="006E084E">
        <w:rPr>
          <w:rFonts w:eastAsia="Times New Roman" w:cs="Times New Roman"/>
          <w:color w:val="000000"/>
          <w:sz w:val="20"/>
        </w:rPr>
        <w:t>ộ</w:t>
      </w:r>
      <w:r w:rsidRPr="006E084E">
        <w:rPr>
          <w:rFonts w:eastAsia="Times New Roman" w:cs="Times New Roman"/>
          <w:color w:val="000000"/>
          <w:sz w:val="20"/>
          <w:lang w:val="vi-VN"/>
        </w:rPr>
        <w:t>ng (trường học, nhà trẻ</w:t>
      </w:r>
      <w:r w:rsidRPr="006E084E">
        <w:rPr>
          <w:rFonts w:eastAsia="Times New Roman" w:cs="Times New Roman"/>
          <w:color w:val="000000"/>
          <w:sz w:val="20"/>
        </w:rPr>
        <w:t>…….</w:t>
      </w:r>
      <w:r w:rsidRPr="006E084E">
        <w:rPr>
          <w:rFonts w:eastAsia="Times New Roman" w:cs="Times New Roman"/>
          <w:color w:val="000000"/>
          <w:sz w:val="20"/>
          <w:lang w:val="vi-VN"/>
        </w:rPr>
        <w:t>)</w:t>
      </w:r>
      <w:r w:rsidRPr="006E084E">
        <w:rPr>
          <w:rFonts w:eastAsia="Times New Roman" w:cs="Times New Roman"/>
          <w:color w:val="000000"/>
          <w:sz w:val="20"/>
        </w:rPr>
        <w:t>…….</w:t>
      </w:r>
      <w:r w:rsidRPr="006E084E">
        <w:rPr>
          <w:rFonts w:eastAsia="Times New Roman" w:cs="Times New Roman"/>
          <w:color w:val="000000"/>
          <w:sz w:val="20"/>
          <w:lang w:val="vi-VN"/>
        </w:rPr>
        <w:t>;</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xml:space="preserve">5. </w:t>
      </w:r>
      <w:r w:rsidRPr="006E084E">
        <w:rPr>
          <w:rFonts w:eastAsia="Times New Roman" w:cs="Times New Roman"/>
          <w:color w:val="000000"/>
          <w:sz w:val="20"/>
          <w:lang w:val="vi-VN"/>
        </w:rPr>
        <w:t>Bảo vệ môi trường trong khai thác và phục hồi môi trường sau khai thác khoáng sản</w:t>
      </w:r>
      <w:r w:rsidRPr="006E084E">
        <w:rPr>
          <w:rFonts w:eastAsia="Times New Roman" w:cs="Times New Roman"/>
          <w:color w:val="000000"/>
          <w:sz w:val="20"/>
        </w:rPr>
        <w:t>………….</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lang w:val="vi-VN"/>
        </w:rPr>
        <w:t>IV. CÁC ĐỀ XUẤT, KIẾN NGHỊ</w:t>
      </w:r>
    </w:p>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w:t>
      </w:r>
    </w:p>
    <w:tbl>
      <w:tblPr>
        <w:tblW w:w="0" w:type="auto"/>
        <w:tblCellMar>
          <w:left w:w="0" w:type="dxa"/>
          <w:right w:w="0" w:type="dxa"/>
        </w:tblCellMar>
        <w:tblLook w:val="04A0" w:firstRow="1" w:lastRow="0" w:firstColumn="1" w:lastColumn="0" w:noHBand="0" w:noVBand="1"/>
      </w:tblPr>
      <w:tblGrid>
        <w:gridCol w:w="2988"/>
        <w:gridCol w:w="5868"/>
      </w:tblGrid>
      <w:tr w:rsidR="006E084E" w:rsidRPr="006E084E" w:rsidTr="006E084E">
        <w:tc>
          <w:tcPr>
            <w:tcW w:w="2988" w:type="dxa"/>
            <w:tcMar>
              <w:top w:w="0" w:type="dxa"/>
              <w:left w:w="108" w:type="dxa"/>
              <w:bottom w:w="0" w:type="dxa"/>
              <w:right w:w="108" w:type="dxa"/>
            </w:tcMar>
            <w:hideMark/>
          </w:tcPr>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lang w:val="vi-VN"/>
              </w:rPr>
              <w:t> </w:t>
            </w:r>
          </w:p>
        </w:tc>
        <w:tc>
          <w:tcPr>
            <w:tcW w:w="5868" w:type="dxa"/>
            <w:tcMar>
              <w:top w:w="0" w:type="dxa"/>
              <w:left w:w="108" w:type="dxa"/>
              <w:bottom w:w="0" w:type="dxa"/>
              <w:right w:w="108" w:type="dxa"/>
            </w:tcMar>
            <w:hideMark/>
          </w:tcPr>
          <w:p w:rsidR="006E084E" w:rsidRPr="006E084E" w:rsidRDefault="006E084E" w:rsidP="006E084E">
            <w:pPr>
              <w:spacing w:before="120" w:after="0" w:line="240" w:lineRule="auto"/>
              <w:jc w:val="center"/>
              <w:rPr>
                <w:rFonts w:eastAsia="Times New Roman" w:cs="Times New Roman"/>
                <w:color w:val="000000"/>
                <w:sz w:val="20"/>
              </w:rPr>
            </w:pPr>
            <w:r w:rsidRPr="006E084E">
              <w:rPr>
                <w:rFonts w:eastAsia="Times New Roman" w:cs="Times New Roman"/>
                <w:b/>
                <w:bCs/>
                <w:color w:val="000000"/>
                <w:sz w:val="20"/>
                <w:lang w:val="vi-VN"/>
              </w:rPr>
              <w:t>T/M. ỦY BAN NHÂN DÂN TỈNH/THÀNH PHỐ…</w:t>
            </w:r>
            <w:r w:rsidRPr="006E084E">
              <w:rPr>
                <w:rFonts w:eastAsia="Times New Roman" w:cs="Times New Roman"/>
                <w:b/>
                <w:bCs/>
                <w:color w:val="000000"/>
                <w:sz w:val="20"/>
              </w:rPr>
              <w:br/>
            </w:r>
            <w:r w:rsidRPr="006E084E">
              <w:rPr>
                <w:rFonts w:eastAsia="Times New Roman" w:cs="Times New Roman"/>
                <w:b/>
                <w:bCs/>
                <w:color w:val="000000"/>
                <w:sz w:val="20"/>
                <w:lang w:val="vi-VN"/>
              </w:rPr>
              <w:t>CHỦ TỊCH</w:t>
            </w:r>
            <w:r w:rsidRPr="006E084E">
              <w:rPr>
                <w:rFonts w:eastAsia="Times New Roman" w:cs="Times New Roman"/>
                <w:b/>
                <w:bCs/>
                <w:color w:val="000000"/>
                <w:sz w:val="20"/>
              </w:rPr>
              <w:br/>
            </w:r>
            <w:r w:rsidRPr="006E084E">
              <w:rPr>
                <w:rFonts w:eastAsia="Times New Roman" w:cs="Times New Roman"/>
                <w:color w:val="000000"/>
                <w:sz w:val="20"/>
              </w:rPr>
              <w:t>(</w:t>
            </w:r>
            <w:r w:rsidRPr="006E084E">
              <w:rPr>
                <w:rFonts w:eastAsia="Times New Roman" w:cs="Times New Roman"/>
                <w:color w:val="000000"/>
                <w:sz w:val="20"/>
                <w:lang w:val="vi-VN"/>
              </w:rPr>
              <w:t>Ký tên, đóng dấu)</w:t>
            </w:r>
          </w:p>
        </w:tc>
      </w:tr>
    </w:tbl>
    <w:p w:rsidR="006E084E" w:rsidRPr="006E084E" w:rsidRDefault="006E084E" w:rsidP="006E084E">
      <w:pPr>
        <w:spacing w:before="120" w:after="0" w:line="240" w:lineRule="auto"/>
        <w:rPr>
          <w:rFonts w:eastAsia="Times New Roman" w:cs="Times New Roman"/>
          <w:color w:val="000000"/>
          <w:sz w:val="20"/>
        </w:rPr>
      </w:pPr>
      <w:r w:rsidRPr="006E084E">
        <w:rPr>
          <w:rFonts w:eastAsia="Times New Roman" w:cs="Times New Roman"/>
          <w:color w:val="000000"/>
          <w:sz w:val="20"/>
        </w:rPr>
        <w:t> </w:t>
      </w:r>
    </w:p>
    <w:bookmarkEnd w:id="0"/>
    <w:p w:rsidR="005479A7" w:rsidRPr="006E084E" w:rsidRDefault="005479A7" w:rsidP="006E084E">
      <w:pPr>
        <w:rPr>
          <w:rFonts w:cs="Times New Roman"/>
          <w:sz w:val="20"/>
        </w:rPr>
      </w:pPr>
    </w:p>
    <w:sectPr w:rsidR="005479A7" w:rsidRPr="006E084E"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2"/>
    <w:rsid w:val="001F2C7D"/>
    <w:rsid w:val="0021729A"/>
    <w:rsid w:val="00230B2E"/>
    <w:rsid w:val="00274849"/>
    <w:rsid w:val="002B6F1C"/>
    <w:rsid w:val="00357CC1"/>
    <w:rsid w:val="0037190F"/>
    <w:rsid w:val="00406F32"/>
    <w:rsid w:val="00417A9F"/>
    <w:rsid w:val="00425C05"/>
    <w:rsid w:val="00433CF3"/>
    <w:rsid w:val="00467EDA"/>
    <w:rsid w:val="004824C6"/>
    <w:rsid w:val="005479A7"/>
    <w:rsid w:val="00564FB8"/>
    <w:rsid w:val="00592C94"/>
    <w:rsid w:val="00607C36"/>
    <w:rsid w:val="006E084E"/>
    <w:rsid w:val="0071158C"/>
    <w:rsid w:val="007959D3"/>
    <w:rsid w:val="007A7101"/>
    <w:rsid w:val="008D6C22"/>
    <w:rsid w:val="00965D73"/>
    <w:rsid w:val="00996D4F"/>
    <w:rsid w:val="009B3360"/>
    <w:rsid w:val="00A20FFD"/>
    <w:rsid w:val="00AB4782"/>
    <w:rsid w:val="00AB7722"/>
    <w:rsid w:val="00AF4232"/>
    <w:rsid w:val="00BB6FF4"/>
    <w:rsid w:val="00BC3711"/>
    <w:rsid w:val="00C15F49"/>
    <w:rsid w:val="00C47E2F"/>
    <w:rsid w:val="00D3364D"/>
    <w:rsid w:val="00D611A7"/>
    <w:rsid w:val="00D86E88"/>
    <w:rsid w:val="00E05F20"/>
    <w:rsid w:val="00EE445C"/>
    <w:rsid w:val="00EF5D17"/>
    <w:rsid w:val="00F03336"/>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B09C-DDB6-4CEF-B6DC-85BF4852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7936">
      <w:bodyDiv w:val="1"/>
      <w:marLeft w:val="0"/>
      <w:marRight w:val="0"/>
      <w:marTop w:val="0"/>
      <w:marBottom w:val="0"/>
      <w:divBdr>
        <w:top w:val="none" w:sz="0" w:space="0" w:color="auto"/>
        <w:left w:val="none" w:sz="0" w:space="0" w:color="auto"/>
        <w:bottom w:val="none" w:sz="0" w:space="0" w:color="auto"/>
        <w:right w:val="none" w:sz="0" w:space="0" w:color="auto"/>
      </w:divBdr>
    </w:div>
    <w:div w:id="335309198">
      <w:bodyDiv w:val="1"/>
      <w:marLeft w:val="0"/>
      <w:marRight w:val="0"/>
      <w:marTop w:val="0"/>
      <w:marBottom w:val="0"/>
      <w:divBdr>
        <w:top w:val="none" w:sz="0" w:space="0" w:color="auto"/>
        <w:left w:val="none" w:sz="0" w:space="0" w:color="auto"/>
        <w:bottom w:val="none" w:sz="0" w:space="0" w:color="auto"/>
        <w:right w:val="none" w:sz="0" w:space="0" w:color="auto"/>
      </w:divBdr>
    </w:div>
    <w:div w:id="335347959">
      <w:bodyDiv w:val="1"/>
      <w:marLeft w:val="0"/>
      <w:marRight w:val="0"/>
      <w:marTop w:val="0"/>
      <w:marBottom w:val="0"/>
      <w:divBdr>
        <w:top w:val="none" w:sz="0" w:space="0" w:color="auto"/>
        <w:left w:val="none" w:sz="0" w:space="0" w:color="auto"/>
        <w:bottom w:val="none" w:sz="0" w:space="0" w:color="auto"/>
        <w:right w:val="none" w:sz="0" w:space="0" w:color="auto"/>
      </w:divBdr>
    </w:div>
    <w:div w:id="388655875">
      <w:bodyDiv w:val="1"/>
      <w:marLeft w:val="0"/>
      <w:marRight w:val="0"/>
      <w:marTop w:val="0"/>
      <w:marBottom w:val="0"/>
      <w:divBdr>
        <w:top w:val="none" w:sz="0" w:space="0" w:color="auto"/>
        <w:left w:val="none" w:sz="0" w:space="0" w:color="auto"/>
        <w:bottom w:val="none" w:sz="0" w:space="0" w:color="auto"/>
        <w:right w:val="none" w:sz="0" w:space="0" w:color="auto"/>
      </w:divBdr>
    </w:div>
    <w:div w:id="417481953">
      <w:bodyDiv w:val="1"/>
      <w:marLeft w:val="0"/>
      <w:marRight w:val="0"/>
      <w:marTop w:val="0"/>
      <w:marBottom w:val="0"/>
      <w:divBdr>
        <w:top w:val="none" w:sz="0" w:space="0" w:color="auto"/>
        <w:left w:val="none" w:sz="0" w:space="0" w:color="auto"/>
        <w:bottom w:val="none" w:sz="0" w:space="0" w:color="auto"/>
        <w:right w:val="none" w:sz="0" w:space="0" w:color="auto"/>
      </w:divBdr>
    </w:div>
    <w:div w:id="530652062">
      <w:bodyDiv w:val="1"/>
      <w:marLeft w:val="0"/>
      <w:marRight w:val="0"/>
      <w:marTop w:val="0"/>
      <w:marBottom w:val="0"/>
      <w:divBdr>
        <w:top w:val="none" w:sz="0" w:space="0" w:color="auto"/>
        <w:left w:val="none" w:sz="0" w:space="0" w:color="auto"/>
        <w:bottom w:val="none" w:sz="0" w:space="0" w:color="auto"/>
        <w:right w:val="none" w:sz="0" w:space="0" w:color="auto"/>
      </w:divBdr>
    </w:div>
    <w:div w:id="537278700">
      <w:bodyDiv w:val="1"/>
      <w:marLeft w:val="0"/>
      <w:marRight w:val="0"/>
      <w:marTop w:val="0"/>
      <w:marBottom w:val="0"/>
      <w:divBdr>
        <w:top w:val="none" w:sz="0" w:space="0" w:color="auto"/>
        <w:left w:val="none" w:sz="0" w:space="0" w:color="auto"/>
        <w:bottom w:val="none" w:sz="0" w:space="0" w:color="auto"/>
        <w:right w:val="none" w:sz="0" w:space="0" w:color="auto"/>
      </w:divBdr>
    </w:div>
    <w:div w:id="545020809">
      <w:bodyDiv w:val="1"/>
      <w:marLeft w:val="0"/>
      <w:marRight w:val="0"/>
      <w:marTop w:val="0"/>
      <w:marBottom w:val="0"/>
      <w:divBdr>
        <w:top w:val="none" w:sz="0" w:space="0" w:color="auto"/>
        <w:left w:val="none" w:sz="0" w:space="0" w:color="auto"/>
        <w:bottom w:val="none" w:sz="0" w:space="0" w:color="auto"/>
        <w:right w:val="none" w:sz="0" w:space="0" w:color="auto"/>
      </w:divBdr>
    </w:div>
    <w:div w:id="694617663">
      <w:bodyDiv w:val="1"/>
      <w:marLeft w:val="0"/>
      <w:marRight w:val="0"/>
      <w:marTop w:val="0"/>
      <w:marBottom w:val="0"/>
      <w:divBdr>
        <w:top w:val="none" w:sz="0" w:space="0" w:color="auto"/>
        <w:left w:val="none" w:sz="0" w:space="0" w:color="auto"/>
        <w:bottom w:val="none" w:sz="0" w:space="0" w:color="auto"/>
        <w:right w:val="none" w:sz="0" w:space="0" w:color="auto"/>
      </w:divBdr>
    </w:div>
    <w:div w:id="694767409">
      <w:bodyDiv w:val="1"/>
      <w:marLeft w:val="0"/>
      <w:marRight w:val="0"/>
      <w:marTop w:val="0"/>
      <w:marBottom w:val="0"/>
      <w:divBdr>
        <w:top w:val="none" w:sz="0" w:space="0" w:color="auto"/>
        <w:left w:val="none" w:sz="0" w:space="0" w:color="auto"/>
        <w:bottom w:val="none" w:sz="0" w:space="0" w:color="auto"/>
        <w:right w:val="none" w:sz="0" w:space="0" w:color="auto"/>
      </w:divBdr>
    </w:div>
    <w:div w:id="706488627">
      <w:bodyDiv w:val="1"/>
      <w:marLeft w:val="0"/>
      <w:marRight w:val="0"/>
      <w:marTop w:val="0"/>
      <w:marBottom w:val="0"/>
      <w:divBdr>
        <w:top w:val="none" w:sz="0" w:space="0" w:color="auto"/>
        <w:left w:val="none" w:sz="0" w:space="0" w:color="auto"/>
        <w:bottom w:val="none" w:sz="0" w:space="0" w:color="auto"/>
        <w:right w:val="none" w:sz="0" w:space="0" w:color="auto"/>
      </w:divBdr>
    </w:div>
    <w:div w:id="715660892">
      <w:bodyDiv w:val="1"/>
      <w:marLeft w:val="0"/>
      <w:marRight w:val="0"/>
      <w:marTop w:val="0"/>
      <w:marBottom w:val="0"/>
      <w:divBdr>
        <w:top w:val="none" w:sz="0" w:space="0" w:color="auto"/>
        <w:left w:val="none" w:sz="0" w:space="0" w:color="auto"/>
        <w:bottom w:val="none" w:sz="0" w:space="0" w:color="auto"/>
        <w:right w:val="none" w:sz="0" w:space="0" w:color="auto"/>
      </w:divBdr>
    </w:div>
    <w:div w:id="725571703">
      <w:bodyDiv w:val="1"/>
      <w:marLeft w:val="0"/>
      <w:marRight w:val="0"/>
      <w:marTop w:val="0"/>
      <w:marBottom w:val="0"/>
      <w:divBdr>
        <w:top w:val="none" w:sz="0" w:space="0" w:color="auto"/>
        <w:left w:val="none" w:sz="0" w:space="0" w:color="auto"/>
        <w:bottom w:val="none" w:sz="0" w:space="0" w:color="auto"/>
        <w:right w:val="none" w:sz="0" w:space="0" w:color="auto"/>
      </w:divBdr>
    </w:div>
    <w:div w:id="794523301">
      <w:bodyDiv w:val="1"/>
      <w:marLeft w:val="0"/>
      <w:marRight w:val="0"/>
      <w:marTop w:val="0"/>
      <w:marBottom w:val="0"/>
      <w:divBdr>
        <w:top w:val="none" w:sz="0" w:space="0" w:color="auto"/>
        <w:left w:val="none" w:sz="0" w:space="0" w:color="auto"/>
        <w:bottom w:val="none" w:sz="0" w:space="0" w:color="auto"/>
        <w:right w:val="none" w:sz="0" w:space="0" w:color="auto"/>
      </w:divBdr>
    </w:div>
    <w:div w:id="887840488">
      <w:bodyDiv w:val="1"/>
      <w:marLeft w:val="0"/>
      <w:marRight w:val="0"/>
      <w:marTop w:val="0"/>
      <w:marBottom w:val="0"/>
      <w:divBdr>
        <w:top w:val="none" w:sz="0" w:space="0" w:color="auto"/>
        <w:left w:val="none" w:sz="0" w:space="0" w:color="auto"/>
        <w:bottom w:val="none" w:sz="0" w:space="0" w:color="auto"/>
        <w:right w:val="none" w:sz="0" w:space="0" w:color="auto"/>
      </w:divBdr>
    </w:div>
    <w:div w:id="916205032">
      <w:bodyDiv w:val="1"/>
      <w:marLeft w:val="0"/>
      <w:marRight w:val="0"/>
      <w:marTop w:val="0"/>
      <w:marBottom w:val="0"/>
      <w:divBdr>
        <w:top w:val="none" w:sz="0" w:space="0" w:color="auto"/>
        <w:left w:val="none" w:sz="0" w:space="0" w:color="auto"/>
        <w:bottom w:val="none" w:sz="0" w:space="0" w:color="auto"/>
        <w:right w:val="none" w:sz="0" w:space="0" w:color="auto"/>
      </w:divBdr>
    </w:div>
    <w:div w:id="920337474">
      <w:bodyDiv w:val="1"/>
      <w:marLeft w:val="0"/>
      <w:marRight w:val="0"/>
      <w:marTop w:val="0"/>
      <w:marBottom w:val="0"/>
      <w:divBdr>
        <w:top w:val="none" w:sz="0" w:space="0" w:color="auto"/>
        <w:left w:val="none" w:sz="0" w:space="0" w:color="auto"/>
        <w:bottom w:val="none" w:sz="0" w:space="0" w:color="auto"/>
        <w:right w:val="none" w:sz="0" w:space="0" w:color="auto"/>
      </w:divBdr>
    </w:div>
    <w:div w:id="941570220">
      <w:bodyDiv w:val="1"/>
      <w:marLeft w:val="0"/>
      <w:marRight w:val="0"/>
      <w:marTop w:val="0"/>
      <w:marBottom w:val="0"/>
      <w:divBdr>
        <w:top w:val="none" w:sz="0" w:space="0" w:color="auto"/>
        <w:left w:val="none" w:sz="0" w:space="0" w:color="auto"/>
        <w:bottom w:val="none" w:sz="0" w:space="0" w:color="auto"/>
        <w:right w:val="none" w:sz="0" w:space="0" w:color="auto"/>
      </w:divBdr>
    </w:div>
    <w:div w:id="972950841">
      <w:bodyDiv w:val="1"/>
      <w:marLeft w:val="0"/>
      <w:marRight w:val="0"/>
      <w:marTop w:val="0"/>
      <w:marBottom w:val="0"/>
      <w:divBdr>
        <w:top w:val="none" w:sz="0" w:space="0" w:color="auto"/>
        <w:left w:val="none" w:sz="0" w:space="0" w:color="auto"/>
        <w:bottom w:val="none" w:sz="0" w:space="0" w:color="auto"/>
        <w:right w:val="none" w:sz="0" w:space="0" w:color="auto"/>
      </w:divBdr>
    </w:div>
    <w:div w:id="983657341">
      <w:bodyDiv w:val="1"/>
      <w:marLeft w:val="0"/>
      <w:marRight w:val="0"/>
      <w:marTop w:val="0"/>
      <w:marBottom w:val="0"/>
      <w:divBdr>
        <w:top w:val="none" w:sz="0" w:space="0" w:color="auto"/>
        <w:left w:val="none" w:sz="0" w:space="0" w:color="auto"/>
        <w:bottom w:val="none" w:sz="0" w:space="0" w:color="auto"/>
        <w:right w:val="none" w:sz="0" w:space="0" w:color="auto"/>
      </w:divBdr>
    </w:div>
    <w:div w:id="1006402604">
      <w:bodyDiv w:val="1"/>
      <w:marLeft w:val="0"/>
      <w:marRight w:val="0"/>
      <w:marTop w:val="0"/>
      <w:marBottom w:val="0"/>
      <w:divBdr>
        <w:top w:val="none" w:sz="0" w:space="0" w:color="auto"/>
        <w:left w:val="none" w:sz="0" w:space="0" w:color="auto"/>
        <w:bottom w:val="none" w:sz="0" w:space="0" w:color="auto"/>
        <w:right w:val="none" w:sz="0" w:space="0" w:color="auto"/>
      </w:divBdr>
    </w:div>
    <w:div w:id="1122456354">
      <w:bodyDiv w:val="1"/>
      <w:marLeft w:val="0"/>
      <w:marRight w:val="0"/>
      <w:marTop w:val="0"/>
      <w:marBottom w:val="0"/>
      <w:divBdr>
        <w:top w:val="none" w:sz="0" w:space="0" w:color="auto"/>
        <w:left w:val="none" w:sz="0" w:space="0" w:color="auto"/>
        <w:bottom w:val="none" w:sz="0" w:space="0" w:color="auto"/>
        <w:right w:val="none" w:sz="0" w:space="0" w:color="auto"/>
      </w:divBdr>
    </w:div>
    <w:div w:id="1166170546">
      <w:bodyDiv w:val="1"/>
      <w:marLeft w:val="0"/>
      <w:marRight w:val="0"/>
      <w:marTop w:val="0"/>
      <w:marBottom w:val="0"/>
      <w:divBdr>
        <w:top w:val="none" w:sz="0" w:space="0" w:color="auto"/>
        <w:left w:val="none" w:sz="0" w:space="0" w:color="auto"/>
        <w:bottom w:val="none" w:sz="0" w:space="0" w:color="auto"/>
        <w:right w:val="none" w:sz="0" w:space="0" w:color="auto"/>
      </w:divBdr>
    </w:div>
    <w:div w:id="1249776515">
      <w:bodyDiv w:val="1"/>
      <w:marLeft w:val="0"/>
      <w:marRight w:val="0"/>
      <w:marTop w:val="0"/>
      <w:marBottom w:val="0"/>
      <w:divBdr>
        <w:top w:val="none" w:sz="0" w:space="0" w:color="auto"/>
        <w:left w:val="none" w:sz="0" w:space="0" w:color="auto"/>
        <w:bottom w:val="none" w:sz="0" w:space="0" w:color="auto"/>
        <w:right w:val="none" w:sz="0" w:space="0" w:color="auto"/>
      </w:divBdr>
    </w:div>
    <w:div w:id="1318192754">
      <w:bodyDiv w:val="1"/>
      <w:marLeft w:val="0"/>
      <w:marRight w:val="0"/>
      <w:marTop w:val="0"/>
      <w:marBottom w:val="0"/>
      <w:divBdr>
        <w:top w:val="none" w:sz="0" w:space="0" w:color="auto"/>
        <w:left w:val="none" w:sz="0" w:space="0" w:color="auto"/>
        <w:bottom w:val="none" w:sz="0" w:space="0" w:color="auto"/>
        <w:right w:val="none" w:sz="0" w:space="0" w:color="auto"/>
      </w:divBdr>
    </w:div>
    <w:div w:id="1318456879">
      <w:bodyDiv w:val="1"/>
      <w:marLeft w:val="0"/>
      <w:marRight w:val="0"/>
      <w:marTop w:val="0"/>
      <w:marBottom w:val="0"/>
      <w:divBdr>
        <w:top w:val="none" w:sz="0" w:space="0" w:color="auto"/>
        <w:left w:val="none" w:sz="0" w:space="0" w:color="auto"/>
        <w:bottom w:val="none" w:sz="0" w:space="0" w:color="auto"/>
        <w:right w:val="none" w:sz="0" w:space="0" w:color="auto"/>
      </w:divBdr>
    </w:div>
    <w:div w:id="1338338945">
      <w:bodyDiv w:val="1"/>
      <w:marLeft w:val="0"/>
      <w:marRight w:val="0"/>
      <w:marTop w:val="0"/>
      <w:marBottom w:val="0"/>
      <w:divBdr>
        <w:top w:val="none" w:sz="0" w:space="0" w:color="auto"/>
        <w:left w:val="none" w:sz="0" w:space="0" w:color="auto"/>
        <w:bottom w:val="none" w:sz="0" w:space="0" w:color="auto"/>
        <w:right w:val="none" w:sz="0" w:space="0" w:color="auto"/>
      </w:divBdr>
    </w:div>
    <w:div w:id="1361005662">
      <w:bodyDiv w:val="1"/>
      <w:marLeft w:val="0"/>
      <w:marRight w:val="0"/>
      <w:marTop w:val="0"/>
      <w:marBottom w:val="0"/>
      <w:divBdr>
        <w:top w:val="none" w:sz="0" w:space="0" w:color="auto"/>
        <w:left w:val="none" w:sz="0" w:space="0" w:color="auto"/>
        <w:bottom w:val="none" w:sz="0" w:space="0" w:color="auto"/>
        <w:right w:val="none" w:sz="0" w:space="0" w:color="auto"/>
      </w:divBdr>
    </w:div>
    <w:div w:id="1412199561">
      <w:bodyDiv w:val="1"/>
      <w:marLeft w:val="0"/>
      <w:marRight w:val="0"/>
      <w:marTop w:val="0"/>
      <w:marBottom w:val="0"/>
      <w:divBdr>
        <w:top w:val="none" w:sz="0" w:space="0" w:color="auto"/>
        <w:left w:val="none" w:sz="0" w:space="0" w:color="auto"/>
        <w:bottom w:val="none" w:sz="0" w:space="0" w:color="auto"/>
        <w:right w:val="none" w:sz="0" w:space="0" w:color="auto"/>
      </w:divBdr>
    </w:div>
    <w:div w:id="1414936068">
      <w:bodyDiv w:val="1"/>
      <w:marLeft w:val="0"/>
      <w:marRight w:val="0"/>
      <w:marTop w:val="0"/>
      <w:marBottom w:val="0"/>
      <w:divBdr>
        <w:top w:val="none" w:sz="0" w:space="0" w:color="auto"/>
        <w:left w:val="none" w:sz="0" w:space="0" w:color="auto"/>
        <w:bottom w:val="none" w:sz="0" w:space="0" w:color="auto"/>
        <w:right w:val="none" w:sz="0" w:space="0" w:color="auto"/>
      </w:divBdr>
    </w:div>
    <w:div w:id="1630548806">
      <w:bodyDiv w:val="1"/>
      <w:marLeft w:val="0"/>
      <w:marRight w:val="0"/>
      <w:marTop w:val="0"/>
      <w:marBottom w:val="0"/>
      <w:divBdr>
        <w:top w:val="none" w:sz="0" w:space="0" w:color="auto"/>
        <w:left w:val="none" w:sz="0" w:space="0" w:color="auto"/>
        <w:bottom w:val="none" w:sz="0" w:space="0" w:color="auto"/>
        <w:right w:val="none" w:sz="0" w:space="0" w:color="auto"/>
      </w:divBdr>
    </w:div>
    <w:div w:id="1636790962">
      <w:bodyDiv w:val="1"/>
      <w:marLeft w:val="0"/>
      <w:marRight w:val="0"/>
      <w:marTop w:val="0"/>
      <w:marBottom w:val="0"/>
      <w:divBdr>
        <w:top w:val="none" w:sz="0" w:space="0" w:color="auto"/>
        <w:left w:val="none" w:sz="0" w:space="0" w:color="auto"/>
        <w:bottom w:val="none" w:sz="0" w:space="0" w:color="auto"/>
        <w:right w:val="none" w:sz="0" w:space="0" w:color="auto"/>
      </w:divBdr>
    </w:div>
    <w:div w:id="1703900613">
      <w:bodyDiv w:val="1"/>
      <w:marLeft w:val="0"/>
      <w:marRight w:val="0"/>
      <w:marTop w:val="0"/>
      <w:marBottom w:val="0"/>
      <w:divBdr>
        <w:top w:val="none" w:sz="0" w:space="0" w:color="auto"/>
        <w:left w:val="none" w:sz="0" w:space="0" w:color="auto"/>
        <w:bottom w:val="none" w:sz="0" w:space="0" w:color="auto"/>
        <w:right w:val="none" w:sz="0" w:space="0" w:color="auto"/>
      </w:divBdr>
    </w:div>
    <w:div w:id="1810903763">
      <w:bodyDiv w:val="1"/>
      <w:marLeft w:val="0"/>
      <w:marRight w:val="0"/>
      <w:marTop w:val="0"/>
      <w:marBottom w:val="0"/>
      <w:divBdr>
        <w:top w:val="none" w:sz="0" w:space="0" w:color="auto"/>
        <w:left w:val="none" w:sz="0" w:space="0" w:color="auto"/>
        <w:bottom w:val="none" w:sz="0" w:space="0" w:color="auto"/>
        <w:right w:val="none" w:sz="0" w:space="0" w:color="auto"/>
      </w:divBdr>
    </w:div>
    <w:div w:id="1855074345">
      <w:bodyDiv w:val="1"/>
      <w:marLeft w:val="0"/>
      <w:marRight w:val="0"/>
      <w:marTop w:val="0"/>
      <w:marBottom w:val="0"/>
      <w:divBdr>
        <w:top w:val="none" w:sz="0" w:space="0" w:color="auto"/>
        <w:left w:val="none" w:sz="0" w:space="0" w:color="auto"/>
        <w:bottom w:val="none" w:sz="0" w:space="0" w:color="auto"/>
        <w:right w:val="none" w:sz="0" w:space="0" w:color="auto"/>
      </w:divBdr>
    </w:div>
    <w:div w:id="2040815640">
      <w:bodyDiv w:val="1"/>
      <w:marLeft w:val="0"/>
      <w:marRight w:val="0"/>
      <w:marTop w:val="0"/>
      <w:marBottom w:val="0"/>
      <w:divBdr>
        <w:top w:val="none" w:sz="0" w:space="0" w:color="auto"/>
        <w:left w:val="none" w:sz="0" w:space="0" w:color="auto"/>
        <w:bottom w:val="none" w:sz="0" w:space="0" w:color="auto"/>
        <w:right w:val="none" w:sz="0" w:space="0" w:color="auto"/>
      </w:divBdr>
    </w:div>
    <w:div w:id="2087456685">
      <w:bodyDiv w:val="1"/>
      <w:marLeft w:val="0"/>
      <w:marRight w:val="0"/>
      <w:marTop w:val="0"/>
      <w:marBottom w:val="0"/>
      <w:divBdr>
        <w:top w:val="none" w:sz="0" w:space="0" w:color="auto"/>
        <w:left w:val="none" w:sz="0" w:space="0" w:color="auto"/>
        <w:bottom w:val="none" w:sz="0" w:space="0" w:color="auto"/>
        <w:right w:val="none" w:sz="0" w:space="0" w:color="auto"/>
      </w:divBdr>
    </w:div>
    <w:div w:id="21442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2019-01-22T07:55:00Z</dcterms:created>
  <dcterms:modified xsi:type="dcterms:W3CDTF">2019-01-22T07:55:00Z</dcterms:modified>
</cp:coreProperties>
</file>