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6604"/>
      </w:tblGrid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A10BE7" w:rsidRPr="00412711" w:rsidRDefault="00A10BE7" w:rsidP="009826B7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A10BE7" w:rsidRPr="00412711" w:rsidRDefault="00A10BE7" w:rsidP="009826B7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A10BE7" w:rsidRPr="00412711" w:rsidRDefault="00A10BE7" w:rsidP="009826B7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A10BE7" w:rsidRPr="00412711" w:rsidRDefault="00A10BE7" w:rsidP="009826B7">
            <w:pPr>
              <w:spacing w:line="240" w:lineRule="atLeast"/>
              <w:rPr>
                <w:rFonts w:ascii=".VnTime" w:hAnsi=".VnTime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A10BE7" w:rsidRPr="00412711" w:rsidRDefault="00A10BE7" w:rsidP="009826B7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A10BE7" w:rsidRPr="0021227D" w:rsidRDefault="00A10BE7" w:rsidP="009826B7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A10BE7" w:rsidRPr="00412711" w:rsidRDefault="00A10BE7" w:rsidP="009826B7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A10BE7" w:rsidRPr="00412711" w:rsidRDefault="00A10BE7" w:rsidP="00A10BE7">
      <w:pPr>
        <w:spacing w:line="240" w:lineRule="atLeast"/>
        <w:jc w:val="center"/>
        <w:rPr>
          <w:rFonts w:ascii=".VnTime" w:hAnsi=".VnTime" w:cs=".VnTimeH"/>
          <w:b/>
          <w:bCs/>
          <w:sz w:val="26"/>
          <w:szCs w:val="26"/>
          <w:lang w:val="nl-NL"/>
        </w:rPr>
      </w:pPr>
    </w:p>
    <w:p w:rsidR="00A10BE7" w:rsidRPr="00412711" w:rsidRDefault="00A10BE7" w:rsidP="00A10BE7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A10BE7" w:rsidRPr="00412711" w:rsidRDefault="00A10BE7" w:rsidP="00A10BE7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gián tiếp) (*)</w:t>
      </w:r>
    </w:p>
    <w:p w:rsidR="00A10BE7" w:rsidRDefault="00A10BE7" w:rsidP="00A10BE7">
      <w:pPr>
        <w:spacing w:line="240" w:lineRule="atLeast"/>
        <w:jc w:val="center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</w:p>
    <w:p w:rsidR="00A10BE7" w:rsidRPr="00412711" w:rsidRDefault="00A10BE7" w:rsidP="00A10BE7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ab/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720"/>
        <w:gridCol w:w="1080"/>
        <w:gridCol w:w="900"/>
        <w:gridCol w:w="900"/>
      </w:tblGrid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BE7" w:rsidRPr="002176CA" w:rsidRDefault="00A10BE7" w:rsidP="009826B7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left w:val="nil"/>
            </w:tcBorders>
          </w:tcPr>
          <w:p w:rsidR="00A10BE7" w:rsidRPr="002176CA" w:rsidRDefault="00A10BE7" w:rsidP="009826B7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nay</w:t>
            </w:r>
          </w:p>
        </w:tc>
        <w:tc>
          <w:tcPr>
            <w:tcW w:w="900" w:type="dxa"/>
            <w:tcBorders>
              <w:left w:val="nil"/>
            </w:tcBorders>
          </w:tcPr>
          <w:p w:rsidR="00A10BE7" w:rsidRPr="002176CA" w:rsidRDefault="00A10BE7" w:rsidP="009826B7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tr</w:t>
            </w:r>
            <w:r w:rsidRPr="002176CA">
              <w:rPr>
                <w:rFonts w:hint="eastAsia"/>
                <w:b/>
                <w:sz w:val="24"/>
                <w:lang w:val="nl-NL"/>
              </w:rPr>
              <w:t>ư</w:t>
            </w:r>
            <w:r w:rsidRPr="002176CA">
              <w:rPr>
                <w:b/>
                <w:sz w:val="24"/>
                <w:lang w:val="nl-NL"/>
              </w:rPr>
              <w:t>ớc</w:t>
            </w: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1. Lợi nhuận trước thuế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2. Điều chỉnh cho các khoản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Khấu hao TSCĐ</w:t>
            </w:r>
            <w:r>
              <w:rPr>
                <w:sz w:val="26"/>
                <w:szCs w:val="26"/>
                <w:lang w:val="nl-NL"/>
              </w:rPr>
              <w:t xml:space="preserve"> và BĐSĐT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E10F6E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Các khoản dự phòng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B951D6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chênh lệch tỷ giá hối đoái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B951D6">
              <w:rPr>
                <w:bCs/>
                <w:iCs/>
                <w:sz w:val="26"/>
                <w:szCs w:val="26"/>
                <w:lang w:val="nl-NL"/>
              </w:rPr>
              <w:t>do đánh giá lại các khoản mục tiền tệ có gốc ngoại tệ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từ hoạt động đầu tư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Chi phí lãi vay</w:t>
            </w:r>
          </w:p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Các khoản điều chỉnh khác </w:t>
            </w:r>
          </w:p>
        </w:tc>
        <w:tc>
          <w:tcPr>
            <w:tcW w:w="720" w:type="dxa"/>
          </w:tcPr>
          <w:p w:rsidR="00A10BE7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06</w:t>
            </w:r>
          </w:p>
          <w:p w:rsidR="00A10BE7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07</w:t>
            </w:r>
          </w:p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3. Lợi nhuận từ hoạt động kinh doanh trước thay đổi vốn lưu động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08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thu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09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hàng tồn kho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trả (Không kể lãi vay phải trả, thuế thu nhập doanh nghiệp phải nộp)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chi phí trả trước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Tăng, giảm chứng khoán kinh doanh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lãi vay đã trả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Thuế thu nhập doanh nghiệp đã nộp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thu khác từ hoạt động kinh doanh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chi khác cho hoạt động kinh doanh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3.Tiền chi cho vay, mua các công cụ nợ của đơn vị khác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7.Tiền thu lãi cho vay, cổ tức và lợi nhuận được chia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A10BE7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A10BE7" w:rsidRPr="00412711" w:rsidRDefault="00A10BE7" w:rsidP="009826B7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A10BE7" w:rsidRPr="00D0001B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A10BE7" w:rsidRPr="00D0001B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tài chính</w:t>
            </w:r>
          </w:p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đầu kỳ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10BE7" w:rsidRPr="00412711" w:rsidRDefault="00A10BE7" w:rsidP="009826B7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10BE7" w:rsidRPr="00412711" w:rsidRDefault="00A10BE7" w:rsidP="009826B7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A10BE7" w:rsidRDefault="00A10BE7" w:rsidP="00A10BE7">
      <w:pPr>
        <w:spacing w:line="0" w:lineRule="atLeast"/>
        <w:rPr>
          <w:sz w:val="26"/>
          <w:szCs w:val="26"/>
          <w:lang w:val="nl-NL"/>
        </w:rPr>
      </w:pPr>
    </w:p>
    <w:p w:rsidR="00A10BE7" w:rsidRDefault="00A10BE7" w:rsidP="00A10BE7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 chỉ tiêu”.</w:t>
      </w:r>
    </w:p>
    <w:p w:rsidR="00A10BE7" w:rsidRDefault="00A10BE7" w:rsidP="00A10BE7">
      <w:pPr>
        <w:spacing w:line="0" w:lineRule="atLeast"/>
        <w:rPr>
          <w:sz w:val="26"/>
          <w:szCs w:val="26"/>
          <w:lang w:val="nl-NL"/>
        </w:rPr>
      </w:pPr>
    </w:p>
    <w:p w:rsidR="00A10BE7" w:rsidRPr="00412711" w:rsidRDefault="00A10BE7" w:rsidP="00A10BE7">
      <w:pPr>
        <w:spacing w:line="0" w:lineRule="atLeast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A10BE7" w:rsidRPr="00412711" w:rsidTr="00982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A10BE7" w:rsidRPr="00412711" w:rsidTr="00982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A10BE7" w:rsidRPr="00412711" w:rsidRDefault="00A10BE7" w:rsidP="009826B7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A10BE7" w:rsidRPr="00412711" w:rsidRDefault="00A10BE7" w:rsidP="009826B7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A10BE7" w:rsidRPr="00412711" w:rsidRDefault="00A10BE7" w:rsidP="009826B7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A10BE7" w:rsidRPr="00412711" w:rsidRDefault="00A10BE7" w:rsidP="00A10BE7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E7"/>
    <w:rsid w:val="0005382B"/>
    <w:rsid w:val="00485743"/>
    <w:rsid w:val="00A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897BD1-FCBB-490C-9AD2-62B3934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2024-09-20T00:58:00Z</dcterms:created>
  <dcterms:modified xsi:type="dcterms:W3CDTF">2024-09-20T00:59:00Z</dcterms:modified>
</cp:coreProperties>
</file>