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C3B" w:rsidRPr="00466C3B" w:rsidRDefault="00466C3B" w:rsidP="00466C3B">
      <w:pPr>
        <w:pStyle w:val="NormalWeb"/>
        <w:shd w:val="clear" w:color="auto" w:fill="FFFFFF"/>
        <w:spacing w:before="0" w:beforeAutospacing="0" w:after="0" w:afterAutospacing="0" w:line="234" w:lineRule="atLeast"/>
        <w:jc w:val="right"/>
        <w:rPr>
          <w:color w:val="000000"/>
        </w:rPr>
      </w:pPr>
      <w:bookmarkStart w:id="0" w:name="chuong_pl_8"/>
      <w:r w:rsidRPr="00466C3B">
        <w:rPr>
          <w:b/>
          <w:bCs/>
          <w:color w:val="000000"/>
          <w:lang w:val="en-GB"/>
        </w:rPr>
        <w:t>Mẫu số 02</w:t>
      </w:r>
      <w:bookmarkEnd w:id="0"/>
    </w:p>
    <w:p w:rsidR="00466C3B" w:rsidRPr="00466C3B" w:rsidRDefault="00466C3B" w:rsidP="00466C3B">
      <w:pPr>
        <w:pStyle w:val="NormalWeb"/>
        <w:shd w:val="clear" w:color="auto" w:fill="FFFFFF"/>
        <w:spacing w:before="0" w:beforeAutospacing="0" w:after="0" w:afterAutospacing="0" w:line="234" w:lineRule="atLeast"/>
        <w:jc w:val="center"/>
        <w:rPr>
          <w:color w:val="000000"/>
        </w:rPr>
      </w:pPr>
      <w:r w:rsidRPr="00466C3B">
        <w:rPr>
          <w:b/>
          <w:bCs/>
          <w:color w:val="000000"/>
          <w:lang w:val="en-GB"/>
        </w:rPr>
        <w:t> </w:t>
      </w:r>
      <w:bookmarkStart w:id="1" w:name="chuong_pl_8_name"/>
      <w:r w:rsidRPr="00466C3B">
        <w:rPr>
          <w:b/>
          <w:bCs/>
          <w:color w:val="000000"/>
          <w:lang w:val="en-GB"/>
        </w:rPr>
        <w:t>BÁO CÁO KINH TẾ - KỸ THUẬT ĐẦU TƯ XÂY DỰNG DỰ ÁN PPP</w:t>
      </w:r>
      <w:bookmarkEnd w:id="1"/>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Báo cáo kinh tế - kỹ thuật đầu tư xây dựng dự án PPP (BCKTKT) là tài liệu trình bày các nội dung nghiên cứu về sự cần thiết, tính khả thi và hiệu quả của dự án PPP. Phụ lục này hướng dẫn các nội dung được trình bày trong BCKTKT để cấp có thẩm quyền phê duyệt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Căn cứ tính chất, quy mô, lĩnh vực của dự án, đơn vị chuẩn bị dự án hoặc nhà đầu tư lập BCKTKT theo các nội dung được hướng dẫn dưới đây. Trường hợp áp dụng Mẫu này để trình bày các nội dung điều chỉnh BCNCKT, đơn vị chuẩn bị dự án hoặc nhà đầu tư sắp xếp, lựa chọn các nội dung phù hợp.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A. THÔNG TIN CƠ BẢN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Tóm tắt và thuyết minh thông tin cơ bản của dự án, bao gồm: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Tên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Tên cơ quan có thẩm quyền, cơ quan ký kết hợp đồng.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Tên đơn vị chuẩn bị dự án hoặc nhà đầu tư lập báo cáo kinh tế - kỹ thuật đầu tư xây dựng; tên cơ quan, đơn vị tiếp nhận hồ sơ của nhà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4. Tổng mức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5. Vốn nhà nước trong dự án PPP (nếu có), giá trị tối thiểu và thời hạn nộp ngân sách nhà nước (đối với dự án áp dụng loại hợp đồng O&amp;M).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6. Loại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7. Ưu đãi và bảo đảm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8. Tên bên mời thầu, hình thức lựa chọn nhà đầu tư và thời gian tổ chức lựa chọn nhà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B. CĂN CỨ LẬP BÁO CÁO KINH TẾ - KỸ THUẬT ĐẦU TƯ XÂY DỰNG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Liệt kê các văn bản pháp lý chủ yếu làm căn cứ lập BCKTKT, bao gồm: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Các Luật, Nghị định và Thông tư hướng dẫn liên quan đến việc triển khai dự án theo phương thức PPP.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Các Luật, Nghị định và Thông tư hướng dẫn liên quan đến ngành, lĩnh vực đầu tư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Các quyết định, văn bản của cấp có thẩm quyền trong các bước lập, thẩm định báo cáo đề xuất chủ trương đầu tư, quyết định chủ trương đầu tư (nếu có); trường hợp dự án áp dụng loại hợp đồng O&amp;M, các quyết định, văn bản của cấp có thẩm quyền liên quan đến công trình, hệ thống cơ sở hạ tầng.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C. THÀNH PHẦN HỒ SƠ TRÌNH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Liệt kê thành phần hồ sơ trình tương ứng với từng giai đoạn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I. THÀNH PHẦN HỒ SƠ ĐỀ NGHỊ THẨM ĐỊNH BCKTKT (HOẶC NỘI DUNG ĐIỀU CHỈNH BCKTKT)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Văn bản đề nghị thẩm định.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Dự thảo tờ trình đề nghị phê duyệt dự án (hoặc điều chỉnh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lastRenderedPageBreak/>
        <w:t>3. BCKTKT (hoặc nội dung điều chỉnh BCKTKT).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4. Quyết định chủ trương đầu tư (hoặc quyết định điều chỉnh chủ trương đầu tư)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5. Tài liệu pháp lý khác có liên quan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II. THÀNH PHẦN HỒ SƠ ĐỀ NGHỊ PHÊ DUYỆT DỰ ÁN (HOẶC ĐIỀU CHỈNH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Tờ trình đề nghị phê duyệt dự án (hoặc điều chỉnh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Dự thảo quyết định phê duyệt dự án (hoặc quyết định điều chỉnh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BCKTKT (hoặc nội dung điều chỉnh BCKTKT).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4. Báo cáo thẩm định BCNCKT (hoặc báo cáo thẩm định nội dung điều chỉnh BCNCKT).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5. Quyết định chủ trương đầu tư (hoặc quyết định điều chỉnh chủ trương đầu tư)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6. Tài liệu pháp lý khác có liên quan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D. NỘI DUNG BÁO CÁO KINH TẾ - KỸ THUẬT ĐẦU TƯ XÂY DỰNG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I. SỰ CẦN THIẾT ĐẦU TƯ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Bối cảnh chung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Trường hợp dự án có cấu phần xây dựng, thuyết minh các nội dung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Thuyết minh bối cảnh chung về kinh tế - xã hội của quốc gia, địa phương trong giai đoạn dự án được triển khai.</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Tổng quan về ngành, lĩnh vực mà dự án đề xuất, các ảnh hưởng trực tiếp, gián tiếp của các quy định về pháp luật chuyên ngành đối với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Nhận định các lợi ích dự kiến dự án sẽ đóng góp cho quốc gia và/hoặc địa phương.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Trường hợp dự án áp dụng loại hợp đồng O&amp;M, thuyết minh sự phù hợp của dự án và các lợi ích dự kiến dự án sẽ đóng góp cho quốc gia và/hoặc địa phương.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Hiện trạng khu vực thực hiện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Trường hợp dự án khởi công mới, thuyết minh về hiện trạng, thực trạng của khu vực, địa điểm sẽ triển khai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Trường hợp dự án cải tạo, sửa chữa, nâng cấp, đánh giá bổ sung hiện trạng của công trình cần cải tạo, sửa chữa, nâng cấp.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Trường hợp dự án áp dụng loại hợp đồng O&amp;M, đánh giá hiện trạng công trình, hệ thống cơ sở hạ tầng thuộc dự án; máy móc, thiết bị và các loại tài sản khác có liên quan.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Lợi thế của việc đầu tư theo phương thức PPP: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Phân tích chi tiết lợi thế đối với dự án khi đầu tư theo phương thức PPP so với hình thức đầu tư khác trên cơ sở các nội dung: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Khả năng thu hút nguồn vốn;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Chất lượng dịch vụ cung cấp;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Các yếu tố khác của khu vực tư nhân và nhà nước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lastRenderedPageBreak/>
        <w:t>II. PHÂN TÍCH HIỆU QUẢ KINH TẾ - XÃ HỘI CỦA DỰ ÁN; TÁC ĐỘNG VỀ MÔI TRƯỜNG, XÃ HỘI VÀ QUỐC PHÒNG, AN NINH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Xác định các yếu tố chi phí và lợi ích về mặt kinh tế - xã hội</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Xác định chi tiết các yếu tố chi phí và lợi ích về mặt kinh tế - xã hội của dự án theo các nhóm yếu tố dưới đây:</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Nhóm yếu tố có thể định lượng nhưng không định giá được (ví dụ: lợi ích do cải thiện về môi trường, lợi ích do thúc đẩy tăng trưởng kinh tế, gia tăng việc làm...).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Các chỉ tiêu phân tích hiệu quả kinh tế - xã hội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a) Giá trị hiện tại ròng kinh tế (ENPV)</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noProof/>
          <w:color w:val="000000"/>
        </w:rPr>
        <w:drawing>
          <wp:inline distT="0" distB="0" distL="0" distR="0">
            <wp:extent cx="2514600" cy="561975"/>
            <wp:effectExtent l="19050" t="0" r="0" b="0"/>
            <wp:docPr id="26" name="Picture 26" descr="https://files.thuvienphapluat.vn/doc2htm/00672498_files/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iles.thuvienphapluat.vn/doc2htm/00672498_files/image011.jpg"/>
                    <pic:cNvPicPr>
                      <a:picLocks noChangeAspect="1" noChangeArrowheads="1"/>
                    </pic:cNvPicPr>
                  </pic:nvPicPr>
                  <pic:blipFill>
                    <a:blip r:embed="rId4"/>
                    <a:srcRect/>
                    <a:stretch>
                      <a:fillRect/>
                    </a:stretch>
                  </pic:blipFill>
                  <pic:spPr bwMode="auto">
                    <a:xfrm>
                      <a:off x="0" y="0"/>
                      <a:ext cx="2514600" cy="561975"/>
                    </a:xfrm>
                    <a:prstGeom prst="rect">
                      <a:avLst/>
                    </a:prstGeom>
                    <a:noFill/>
                    <a:ln w="9525">
                      <a:noFill/>
                      <a:miter lim="800000"/>
                      <a:headEnd/>
                      <a:tailEnd/>
                    </a:ln>
                  </pic:spPr>
                </pic:pic>
              </a:graphicData>
            </a:graphic>
          </wp:inline>
        </w:drawing>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Trong đó: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w:t>
      </w:r>
      <w:r w:rsidRPr="00466C3B">
        <w:rPr>
          <w:color w:val="000000"/>
          <w:vertAlign w:val="subscript"/>
          <w:lang w:val="en-GB"/>
        </w:rPr>
        <w:t>t</w:t>
      </w:r>
      <w:r w:rsidRPr="00466C3B">
        <w:rPr>
          <w:color w:val="000000"/>
          <w:lang w:val="en-GB"/>
        </w:rPr>
        <w:t>: lợi ích năm thứ 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C</w:t>
      </w:r>
      <w:r w:rsidRPr="00466C3B">
        <w:rPr>
          <w:color w:val="000000"/>
          <w:vertAlign w:val="subscript"/>
          <w:lang w:val="en-GB"/>
        </w:rPr>
        <w:t>t</w:t>
      </w:r>
      <w:r w:rsidRPr="00466C3B">
        <w:rPr>
          <w:color w:val="000000"/>
          <w:lang w:val="en-GB"/>
        </w:rPr>
        <w:t>: chi phí năm thứ 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 năm trong vòng đời dự án (0, 1, 2,..., 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n: số năm hoạt động của dự án (thời gian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r</w:t>
      </w:r>
      <w:r w:rsidRPr="00466C3B">
        <w:rPr>
          <w:color w:val="000000"/>
          <w:vertAlign w:val="subscript"/>
          <w:lang w:val="en-GB"/>
        </w:rPr>
        <w:t>e</w:t>
      </w:r>
      <w:r w:rsidRPr="00466C3B">
        <w:rPr>
          <w:color w:val="000000"/>
          <w:lang w:val="en-GB"/>
        </w:rPr>
        <w:t>: tỷ suất chiết khấu kinh tế của dự án. Giá trị r</w:t>
      </w:r>
      <w:r w:rsidRPr="00466C3B">
        <w:rPr>
          <w:color w:val="000000"/>
          <w:vertAlign w:val="subscript"/>
          <w:lang w:val="en-GB"/>
        </w:rPr>
        <w:t>e</w:t>
      </w:r>
      <w:r w:rsidRPr="00466C3B">
        <w:rPr>
          <w:color w:val="000000"/>
          <w:lang w:val="en-GB"/>
        </w:rPr>
        <w:t> được xác định theo quy định của từng ngành. Trường hợp chưa được quy định cụ thể thì đơn vị lập BCNCKT có thể tham khảo giá trị r</w:t>
      </w:r>
      <w:r w:rsidRPr="00466C3B">
        <w:rPr>
          <w:color w:val="000000"/>
          <w:vertAlign w:val="subscript"/>
          <w:lang w:val="en-GB"/>
        </w:rPr>
        <w:t>e</w:t>
      </w:r>
      <w:r w:rsidRPr="00466C3B">
        <w:rPr>
          <w:color w:val="000000"/>
          <w:lang w:val="en-GB"/>
        </w:rPr>
        <w:t> = 10% hoặc đề xuất giá trị tính toán khác nhưng cần có thuyết minh về lý do lựa chọn giá trị đó.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 Tỷ số lợi ích trên chi phí về kinh tế (BCR)</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noProof/>
          <w:color w:val="000000"/>
        </w:rPr>
        <w:lastRenderedPageBreak/>
        <w:drawing>
          <wp:inline distT="0" distB="0" distL="0" distR="0">
            <wp:extent cx="1676400" cy="990600"/>
            <wp:effectExtent l="19050" t="0" r="0" b="0"/>
            <wp:docPr id="27" name="Picture 27" descr="https://files.thuvienphapluat.vn/doc2htm/00672498_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iles.thuvienphapluat.vn/doc2htm/00672498_files/image012.jpg"/>
                    <pic:cNvPicPr>
                      <a:picLocks noChangeAspect="1" noChangeArrowheads="1"/>
                    </pic:cNvPicPr>
                  </pic:nvPicPr>
                  <pic:blipFill>
                    <a:blip r:embed="rId5"/>
                    <a:srcRect/>
                    <a:stretch>
                      <a:fillRect/>
                    </a:stretch>
                  </pic:blipFill>
                  <pic:spPr bwMode="auto">
                    <a:xfrm>
                      <a:off x="0" y="0"/>
                      <a:ext cx="1676400" cy="990600"/>
                    </a:xfrm>
                    <a:prstGeom prst="rect">
                      <a:avLst/>
                    </a:prstGeom>
                    <a:noFill/>
                    <a:ln w="9525">
                      <a:noFill/>
                      <a:miter lim="800000"/>
                      <a:headEnd/>
                      <a:tailEnd/>
                    </a:ln>
                  </pic:spPr>
                </pic:pic>
              </a:graphicData>
            </a:graphic>
          </wp:inline>
        </w:drawing>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Trong đó: B</w:t>
      </w:r>
      <w:r w:rsidRPr="00466C3B">
        <w:rPr>
          <w:color w:val="000000"/>
          <w:vertAlign w:val="subscript"/>
          <w:lang w:val="en-GB"/>
        </w:rPr>
        <w:t>t</w:t>
      </w:r>
      <w:r w:rsidRPr="00466C3B">
        <w:rPr>
          <w:color w:val="000000"/>
          <w:lang w:val="en-GB"/>
        </w:rPr>
        <w:t>, C</w:t>
      </w:r>
      <w:r w:rsidRPr="00466C3B">
        <w:rPr>
          <w:color w:val="000000"/>
          <w:vertAlign w:val="subscript"/>
          <w:lang w:val="en-GB"/>
        </w:rPr>
        <w:t>t</w:t>
      </w:r>
      <w:r w:rsidRPr="00466C3B">
        <w:rPr>
          <w:color w:val="000000"/>
          <w:lang w:val="en-GB"/>
        </w:rPr>
        <w:t>, t, n, r</w:t>
      </w:r>
      <w:r w:rsidRPr="00466C3B">
        <w:rPr>
          <w:color w:val="000000"/>
          <w:vertAlign w:val="subscript"/>
          <w:lang w:val="en-GB"/>
        </w:rPr>
        <w:t>e</w:t>
      </w:r>
      <w:r w:rsidRPr="00466C3B">
        <w:rPr>
          <w:color w:val="000000"/>
          <w:lang w:val="en-GB"/>
        </w:rPr>
        <w:t> có ý nghĩa tương tự như trong công thức tính ENPV nêu trên.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c) Tỷ suất nội hoàn kinh tế (EIRR)</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Tỷ suất nội hoàn kinh tế là tỷ suất chiết khấu kinh tế tối đa để dự án thu hồi nguồn vốn đầu tư và chi phí vận hành, đạt được sự hòa vốn. EIRR bằng giá trị tỷ suất chiết khấu (r</w:t>
      </w:r>
      <w:r w:rsidRPr="00466C3B">
        <w:rPr>
          <w:color w:val="000000"/>
          <w:vertAlign w:val="subscript"/>
          <w:lang w:val="en-GB"/>
        </w:rPr>
        <w:t>e</w:t>
      </w:r>
      <w:r w:rsidRPr="00466C3B">
        <w:rPr>
          <w:color w:val="000000"/>
          <w:lang w:val="en-GB"/>
        </w:rPr>
        <w:t>) trong trường hợp ENPV = 0 và được xác định thông qua việc giải phương trình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noProof/>
          <w:color w:val="000000"/>
        </w:rPr>
        <w:drawing>
          <wp:inline distT="0" distB="0" distL="0" distR="0">
            <wp:extent cx="2886075" cy="485775"/>
            <wp:effectExtent l="19050" t="0" r="9525" b="0"/>
            <wp:docPr id="28" name="Picture 28" descr="https://files.thuvienphapluat.vn/doc2htm/00672498_files/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iles.thuvienphapluat.vn/doc2htm/00672498_files/image013.jpg"/>
                    <pic:cNvPicPr>
                      <a:picLocks noChangeAspect="1" noChangeArrowheads="1"/>
                    </pic:cNvPicPr>
                  </pic:nvPicPr>
                  <pic:blipFill>
                    <a:blip r:embed="rId6"/>
                    <a:srcRect/>
                    <a:stretch>
                      <a:fillRect/>
                    </a:stretch>
                  </pic:blipFill>
                  <pic:spPr bwMode="auto">
                    <a:xfrm>
                      <a:off x="0" y="0"/>
                      <a:ext cx="2886075" cy="485775"/>
                    </a:xfrm>
                    <a:prstGeom prst="rect">
                      <a:avLst/>
                    </a:prstGeom>
                    <a:noFill/>
                    <a:ln w="9525">
                      <a:noFill/>
                      <a:miter lim="800000"/>
                      <a:headEnd/>
                      <a:tailEnd/>
                    </a:ln>
                  </pic:spPr>
                </pic:pic>
              </a:graphicData>
            </a:graphic>
          </wp:inline>
        </w:drawing>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Trong đó: B</w:t>
      </w:r>
      <w:r w:rsidRPr="00466C3B">
        <w:rPr>
          <w:color w:val="000000"/>
          <w:vertAlign w:val="subscript"/>
          <w:lang w:val="en-GB"/>
        </w:rPr>
        <w:t>t</w:t>
      </w:r>
      <w:r w:rsidRPr="00466C3B">
        <w:rPr>
          <w:color w:val="000000"/>
          <w:lang w:val="en-GB"/>
        </w:rPr>
        <w:t>, C</w:t>
      </w:r>
      <w:r w:rsidRPr="00466C3B">
        <w:rPr>
          <w:color w:val="000000"/>
          <w:vertAlign w:val="subscript"/>
          <w:lang w:val="en-GB"/>
        </w:rPr>
        <w:t>t</w:t>
      </w:r>
      <w:r w:rsidRPr="00466C3B">
        <w:rPr>
          <w:color w:val="000000"/>
          <w:lang w:val="en-GB"/>
        </w:rPr>
        <w:t>, t, n có ý nghĩa tương tự như trong công thức tính ENPV nêu trên.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BCKTKT có thể tham khảo giá trị SDR = 10% hoặc đề xuất giá trị tính toán khác nhưng cần có thuyết minh về lý do lựa chọn giá trị đó.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Kết luận về hiệu quả kinh tế - xã hội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Trên cơ sở phân tích theo hướng dẫn nêu trên, BCKTKT nêu kết luận về hiệu quả kinh tế - xã hội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BCKTKT nêu kết luận về hiệu quả kinh tế - xã hội của dự án trên cơ sở các nhóm yếu tố còn lại.</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III. PHÂN TÍCH TÀI CHÍNH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Các thông số đầu vào sử dụng trong mô hình tài chính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lastRenderedPageBreak/>
        <w:t>- Các thông số đầu vào khác: Lãi vay, thời gian vay; tỷ lệ lạm phát; tỷ giá; tỷ lệ khấu hao và các thông số khác.</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Phương án tài chính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Trình bày nội dung phương án tài chính (nội dung chi tiết thực hiện theo hướng dẫn của Chính phủ tại Nghị định quy định chi tiết cơ chế tài chính trong dự án PPP), bao gồm: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Tổng mức đầu tư: Trên cơ sở các thuyết minh về kỹ thuật được lựa chọn, BCKTKT xác định tổng mức đầu tư của dự án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Vốn nhà nước tham gia trong dự án dự kiến (nếu có), cụ thể bao gồm: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Vốn hỗ trợ xây dựng công trình, hệ thống cơ sở hạ tầng thuộc dự án PPP: vốn đầu tư công;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Vốn thanh toán (bao gồm phương thức thanh toán) cho nhà đầu tư thực hiện dự án áp dụng loại hợp đồng BTL, BLT;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Vốn nhà nước để chi trả kinh phí bồi thường, giải phóng mặt bằng, hỗ trợ tái định cư, hỗ trợ xây dựng công trình tạm.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Phương án thu hồi vốn đầu tư và lợi nhuận của nhà đầu tư đối với dự án áp dụng loại hợp đồng BOT, BTO, BOO và O&amp;M.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Đề xuất ưu đãi đảm bảo phương án tài chính của dự án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Dự kiến các khoản chi phí của dự án trong thời gian vận hành.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Các thông số đầu vào, chỉ tiêu tài chính.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Dự báo nhu cầu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BCKTKT phân tích nhu cầu sử dụng công trình, hệ thống cơ sở hạ tầng của dự án, sản phẩm, dịch vụ công được cung cấp; dự báo tốc độ tăng trưởng nhu cầu trong tương lai, cụ thể:</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Phân tích nhu cầu hiện tại: Căn cứ hiện trạng dự án, quy mô, công suất dự án, xác định số lượng đối tượng hưởng lợi từ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lastRenderedPageBreak/>
        <w:t>- Dự báo nhu cầu tương lai: Xây dựng các kịch bản về nhu cầu (tối đa, trung bình, tối thiểu) trong suốt vòng đời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Phân tích khả năng chi trả của cộng đồng người sử dụng, tổ chức bao tiêu đối với dự án áp dụng loại hợp đồng BOT, BTO, BOO, O&amp;M.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4. Các chỉ tiêu tài chính xem xét tính khả thi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Căn cứ nội dung phương án tài chính và các thông số đầu vào của mô hình tài chính, tính khả thi về tài chính của dự án được xem xét trên cơ sở các chỉ tiêu tài chính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Giá trị hiện tại ròng tài chính (NPV) của dự án là giá trị hiện lại của dòng tiền thuần trong suốt vòng đời dự án. Để đảm bảo dự án đạt hiệu quả tài chính, NPV phải dương (&gt; 0) và được tính theo công thức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noProof/>
          <w:color w:val="000000"/>
        </w:rPr>
        <w:drawing>
          <wp:inline distT="0" distB="0" distL="0" distR="0">
            <wp:extent cx="1295400" cy="495300"/>
            <wp:effectExtent l="19050" t="0" r="0" b="0"/>
            <wp:docPr id="29" name="Picture 29" descr="https://files.thuvienphapluat.vn/doc2htm/00672498_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iles.thuvienphapluat.vn/doc2htm/00672498_files/image014.jpg"/>
                    <pic:cNvPicPr>
                      <a:picLocks noChangeAspect="1" noChangeArrowheads="1"/>
                    </pic:cNvPicPr>
                  </pic:nvPicPr>
                  <pic:blipFill>
                    <a:blip r:embed="rId7"/>
                    <a:srcRect/>
                    <a:stretch>
                      <a:fillRect/>
                    </a:stretch>
                  </pic:blipFill>
                  <pic:spPr bwMode="auto">
                    <a:xfrm>
                      <a:off x="0" y="0"/>
                      <a:ext cx="1295400" cy="495300"/>
                    </a:xfrm>
                    <a:prstGeom prst="rect">
                      <a:avLst/>
                    </a:prstGeom>
                    <a:noFill/>
                    <a:ln w="9525">
                      <a:noFill/>
                      <a:miter lim="800000"/>
                      <a:headEnd/>
                      <a:tailEnd/>
                    </a:ln>
                  </pic:spPr>
                </pic:pic>
              </a:graphicData>
            </a:graphic>
          </wp:inline>
        </w:drawing>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Trong đó: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CF</w:t>
      </w:r>
      <w:r w:rsidRPr="00466C3B">
        <w:rPr>
          <w:color w:val="000000"/>
          <w:vertAlign w:val="subscript"/>
          <w:lang w:val="en-GB"/>
        </w:rPr>
        <w:t>t</w:t>
      </w:r>
      <w:r w:rsidRPr="00466C3B">
        <w:rPr>
          <w:color w:val="000000"/>
          <w:lang w:val="en-GB"/>
        </w:rPr>
        <w:t>: giá trị dòng tiền thuần là khoản chênh lệch giữa số tiền thu được (dòng tiền vào) và số tiền chi ra (dòng tiền ra) của dự án tại năm thứ 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 năm trong vòng đời dự án (0, 1, 2,..., 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n: số năm hoạt động của dự án (thời gian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r: tỷ suất chiết khấu.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noProof/>
          <w:color w:val="000000"/>
        </w:rPr>
        <w:drawing>
          <wp:inline distT="0" distB="0" distL="0" distR="0">
            <wp:extent cx="1828800" cy="466725"/>
            <wp:effectExtent l="19050" t="0" r="0" b="0"/>
            <wp:docPr id="30" name="Picture 30" descr="https://files.thuvienphapluat.vn/doc2htm/00672498_files/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iles.thuvienphapluat.vn/doc2htm/00672498_files/image015.jpg"/>
                    <pic:cNvPicPr>
                      <a:picLocks noChangeAspect="1" noChangeArrowheads="1"/>
                    </pic:cNvPicPr>
                  </pic:nvPicPr>
                  <pic:blipFill>
                    <a:blip r:embed="rId8"/>
                    <a:srcRect/>
                    <a:stretch>
                      <a:fillRect/>
                    </a:stretch>
                  </pic:blipFill>
                  <pic:spPr bwMode="auto">
                    <a:xfrm>
                      <a:off x="0" y="0"/>
                      <a:ext cx="1828800" cy="466725"/>
                    </a:xfrm>
                    <a:prstGeom prst="rect">
                      <a:avLst/>
                    </a:prstGeom>
                    <a:noFill/>
                    <a:ln w="9525">
                      <a:noFill/>
                      <a:miter lim="800000"/>
                      <a:headEnd/>
                      <a:tailEnd/>
                    </a:ln>
                  </pic:spPr>
                </pic:pic>
              </a:graphicData>
            </a:graphic>
          </wp:inline>
        </w:drawing>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Trong đó: CF</w:t>
      </w:r>
      <w:r w:rsidRPr="00466C3B">
        <w:rPr>
          <w:color w:val="000000"/>
          <w:vertAlign w:val="subscript"/>
          <w:lang w:val="en-GB"/>
        </w:rPr>
        <w:t>t</w:t>
      </w:r>
      <w:r w:rsidRPr="00466C3B">
        <w:rPr>
          <w:color w:val="000000"/>
          <w:lang w:val="en-GB"/>
        </w:rPr>
        <w:t>, t, n có ý nghĩa tương tự như trong công thức tính NPV nêu trên.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Căn cứ điều kiện cụ thể của từng dự án, BCKTKT bổ sung các chỉ tiêu đánh giá tính khả thi của phương án tài chính theo quy định tại Nghị định cơ chế quản lý tài chính dự án PPP.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5. Kết luận về tính khả thi tài chính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Trên cơ sở các phân tích tại các Mục nêu trên, căn cứ tính chất của từng loại hợp đồng dự án, nêu kết luận về tính khả thi tài chính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6. Quản lý và sử dụng vốn nhà nước trong dự án PPP</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lastRenderedPageBreak/>
        <w:t>Căn cứ kết quả phân tích hiệu quả kinh tế - xã hội và phương án tài chính của dự án, thuyết minh các nội dung có liên quan đến việc quản lý và sử dụng vốn nhà nước trong dự án PPP, bao gồm: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IV. LOẠI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1. Căn cứ lựa chọn loại hợp đồng cho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BCKTKT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Phương án kỹ thuật, công nghệ;</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Trách nhiệm của các bên trong việc thực hiện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Phân tích các rủi ro chính của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4. Cơ chế phân bổ và quản lý rủi ro</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V. CÁC HÌNH THỨC ƯU ĐÃI, BẢO ĐẢM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lastRenderedPageBreak/>
        <w:t>1. Ưu đãi, bảo đảm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Cơ chế chia sẻ phần giảm doanh thu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Nêu rõ việc dự án được áp dụng cơ chế chia sẻ rủi ro; dự kiến nguồn vốn và khả năng cân đối nguồn vốn để xử lý rủi ro giảm doanh thu theo quyết định chủ trương đầu tư (nếu có).</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VI. KẾ HOẠCH TỔ CHỨC THỰC HIỆN DỰ ÁN</w:t>
      </w:r>
    </w:p>
    <w:p w:rsidR="00466C3B" w:rsidRPr="00466C3B" w:rsidRDefault="00466C3B" w:rsidP="00466C3B">
      <w:pPr>
        <w:pStyle w:val="NormalWeb"/>
        <w:shd w:val="clear" w:color="auto" w:fill="FFFFFF"/>
        <w:spacing w:before="0" w:beforeAutospacing="0" w:after="0" w:afterAutospacing="0" w:line="234" w:lineRule="atLeast"/>
        <w:rPr>
          <w:color w:val="000000"/>
        </w:rPr>
      </w:pPr>
      <w:r w:rsidRPr="00466C3B">
        <w:rPr>
          <w:color w:val="000000"/>
          <w:lang w:val="en-GB"/>
        </w:rPr>
        <w:t>1. Tổ chức lựa chọn nhà đầu tư (không áp dụng đối với dự án PPP quy định tại </w:t>
      </w:r>
      <w:bookmarkStart w:id="2" w:name="dc_128"/>
      <w:r w:rsidRPr="00466C3B">
        <w:rPr>
          <w:color w:val="000000"/>
          <w:lang w:val="en-GB"/>
        </w:rPr>
        <w:t>khoản 4 Điều 11 của Luật PPP</w:t>
      </w:r>
      <w:bookmarkEnd w:id="2"/>
      <w:r w:rsidRPr="00466C3B">
        <w:rPr>
          <w:color w:val="000000"/>
          <w:lang w:val="en-GB"/>
        </w:rPr>
        <w: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Tên bên mời thầu.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Hình thức lựa chọn nhà đầu tư.</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Thời gian tổng thể và các mốc thời gian dự kiến tổ chức lựa chọn nhà đầu tư (dạng bảng theo dõi tiến độ).</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2. Kế hoạch thực hiện hợp đồng dự án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Đề xuất cơ quan thực hiện việc ký kết và thực hiện hợp đồng.</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Thời gian đàm phán và ký kết hợp đồng dự án với nhà đầu tư, doanh nghiệp dự án; đóng tài chính của dự án và hợp đồng dự án bắt đầu có hiệu lực.</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3. Nguyên tắc xử lý các chi phí trong quá trình chuẩn bị dự án do nhà đầu tư lập báo cáo kinh tế - kỹ thuật đầu tư xây dựng như sau:</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a) Trường hợp báo cáo kinh tế - kỹ thuật đầu tư xây dựng không được phê duyệt hoặc không lựa chọn được nhà đầu tư thực hiện dự án, nhà đầu tư chịu mọi rủi ro, chi phí;</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b) Trường hợp sau khi tổ chức lựa chọn nhà đầu tư, nhà đầu tư đề xuất dự án không được lựa chọn, chi phí lập báo cáo đề xuất chủ trương đầu tư, báo cáo kinh tế - kỹ thuật đầu tư xây dựng sẽ do nhà đầu tư được lựa chọn hoàn trả cho nhà đầu tư đề xuất.</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Trường hợp cần thiết, cơ quan, đơn vị tiếp nhận hồ sơ của nhà đầu tư ký kết văn bản thỏa thuận với nhà đầu tư lập báo cáo kinh tế - kỹ thuật đầu tư xây dựng về các nguyên tắc nêu tại mục này.</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b/>
          <w:bCs/>
          <w:color w:val="000000"/>
          <w:lang w:val="en-GB"/>
        </w:rPr>
        <w:t>Đ. KẾT LUẬN VÀ KIẾN NGHỊ</w:t>
      </w:r>
    </w:p>
    <w:p w:rsidR="00466C3B" w:rsidRPr="00466C3B" w:rsidRDefault="00466C3B" w:rsidP="00466C3B">
      <w:pPr>
        <w:pStyle w:val="NormalWeb"/>
        <w:shd w:val="clear" w:color="auto" w:fill="FFFFFF"/>
        <w:spacing w:before="120" w:beforeAutospacing="0" w:after="120" w:afterAutospacing="0" w:line="234" w:lineRule="atLeast"/>
        <w:rPr>
          <w:color w:val="000000"/>
        </w:rPr>
      </w:pPr>
      <w:r w:rsidRPr="00466C3B">
        <w:rPr>
          <w:color w:val="000000"/>
          <w:lang w:val="en-GB"/>
        </w:rPr>
        <w:t>Trình bày các nội dung kết luận chính của BCKTKT đã được phân tích ở trên, phù hợp, khả thi để triển khai đầu tư theo phương thức PPP. Theo đó, đưa ra kiến nghị cấp có thẩm quyền phê duyệt dự án hoặc các kiến nghị khác (nếu có).</w:t>
      </w:r>
    </w:p>
    <w:p w:rsidR="008A24ED" w:rsidRPr="00466C3B" w:rsidRDefault="008A24ED"/>
    <w:sectPr w:rsidR="008A24ED" w:rsidRPr="00466C3B"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466C3B"/>
    <w:rsid w:val="00466C3B"/>
    <w:rsid w:val="007A70D7"/>
    <w:rsid w:val="008A24ED"/>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466C3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80716482">
      <w:bodyDiv w:val="1"/>
      <w:marLeft w:val="0"/>
      <w:marRight w:val="0"/>
      <w:marTop w:val="0"/>
      <w:marBottom w:val="0"/>
      <w:divBdr>
        <w:top w:val="none" w:sz="0" w:space="0" w:color="auto"/>
        <w:left w:val="none" w:sz="0" w:space="0" w:color="auto"/>
        <w:bottom w:val="none" w:sz="0" w:space="0" w:color="auto"/>
        <w:right w:val="none" w:sz="0" w:space="0" w:color="auto"/>
      </w:divBdr>
    </w:div>
    <w:div w:id="77274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2895</Words>
  <Characters>16508</Characters>
  <Application>Microsoft Office Word</Application>
  <DocSecurity>0</DocSecurity>
  <Lines>137</Lines>
  <Paragraphs>38</Paragraphs>
  <ScaleCrop>false</ScaleCrop>
  <Company>Grizli777</Company>
  <LinksUpToDate>false</LinksUpToDate>
  <CharactersWithSpaces>19365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2025-10-03T03:41:00Z</dcterms:created>
  <dcterms:modified xsi:type="dcterms:W3CDTF">2025-10-03T03:41:00Z</dcterms:modified>
</cp:coreProperties>
</file>