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5E73" w:rsidRPr="00895E73" w:rsidRDefault="00895E73" w:rsidP="00895E73">
      <w:pPr>
        <w:shd w:val="clear" w:color="auto" w:fill="FFFFFF"/>
        <w:spacing w:line="234" w:lineRule="atLeast"/>
        <w:jc w:val="center"/>
        <w:rPr>
          <w:rFonts w:eastAsia="Times New Roman"/>
          <w:color w:val="000000"/>
        </w:rPr>
      </w:pPr>
      <w:bookmarkStart w:id="0" w:name="chuong_pl_3_name"/>
      <w:r w:rsidRPr="00895E73">
        <w:rPr>
          <w:rFonts w:eastAsia="Times New Roman"/>
          <w:b/>
          <w:bCs/>
          <w:color w:val="000000"/>
          <w:lang w:val="en-GB"/>
        </w:rPr>
        <w:t>BÁO CÁO ĐỀ XUẤT CHỦ TRƯƠNG ĐẦU TƯ DỰ ÁN PPP</w:t>
      </w:r>
      <w:bookmarkEnd w:id="0"/>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Báo cáo đề xuất chủ trương đầu tư là tài liệu trình bày các nội dung nghiên cứu sơ bộ về sự cần thiết, tính khả thi và hiệu quả của dự án. Phụ lục này hướng dẫn các nội dung được trình bày trong Báo cáo đề xuất chủ trương đầu tư để cấp có thẩm quyền quyết định chủ trương đầu tư dự án PPP.</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Căn cứ tính chất, quy mô, lĩnh vực, loại hợp đồng của dự án, đơn vị chuẩn bị dự án hoặc nhà đầu tư lập Báo cáo đề xuất chủ trương đầu tư theo các nội dung được hướng dẫn dưới đây. Trường hợp áp dụng Mẫu này để trình bày các nội dung điều chỉnh Báo cáo đề xuất chủ trương đầu tư, đơn vị chuẩn bị dự án hoặc nhà đầu tư sắp xếp, lựa chọn các nội dung phù hợp.</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b/>
          <w:bCs/>
          <w:color w:val="000000"/>
          <w:lang w:val="en-GB"/>
        </w:rPr>
        <w:t>A. THÔNG TIN CƠ BẢN CỦA DỰ ÁN</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Tóm tắt và thuyết minh thông tin cơ bản của dự án, bao gồm:</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1. Tên dự án.</w:t>
      </w:r>
      <w:bookmarkStart w:id="1" w:name="_GoBack"/>
      <w:bookmarkEnd w:id="1"/>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2. Tên cơ quan có thẩm quyền.</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3. Tên đơn vị chuẩn bị dự án hoặc nhà đầu tư lập báo cáo đề xuất chủ trương đầu tư, tên cơ quan, đơn vị tiếp nhận hồ sơ của nhà đầu tư (nếu có).</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4. Địa điểm, quy mô, công suất dự án, diện tích sử dụng đất.</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5. Yêu cầu về kỹ thuật.</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6. Sơ bộ tổng mức đầu tư.</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7. Vốn nhà nước trong dự án PPP (nếu có).</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8. Loại hợp đồng dự án.</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9. Các chỉ tiêu chính thuộc phương án tài chính sơ bộ.</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10. Thời hạn hợp đồng dự án.</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b/>
          <w:bCs/>
          <w:color w:val="000000"/>
          <w:lang w:val="en-GB"/>
        </w:rPr>
        <w:t>B. CĂN CỨ LẬP BÁO CÁO ĐỀ XUẤT CHỦ TRƯƠNG ĐẦU TƯ</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Liệt kê các văn bản pháp lý chủ yếu làm căn cứ lập Báo cáo đề xuất chủ trương đầu tư, bao gồm:</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1. Các Luật, Nghị định và Thông tư hướng dẫn liên quan đến việc triển khai dự án theo phương thức PPP.</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2. Các Luật, Nghị định và Thông tư hướng dẫn liên quan đến ngành, lĩnh vực đầu tư của dự án.</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3. Các nghị quyết hoặc quyết định phê duyệt chiến lược, kế hoạch phát triển kinh tế - xã hội của quốc gia và quy hoạch có liên quan theo quy định của pháp luật về quy hoạch.</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b/>
          <w:bCs/>
          <w:color w:val="000000"/>
          <w:lang w:val="en-GB"/>
        </w:rPr>
        <w:t>C. THÀNH PHẦN HỒ SƠ TRÌNH</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Liệt kê thành phần hồ sơ trình tương ứng với từng giai đoạn</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b/>
          <w:bCs/>
          <w:color w:val="000000"/>
          <w:lang w:val="en-GB"/>
        </w:rPr>
        <w:t>I. THÀNH PHẦN HỒ SƠ ĐỀ NGHỊ THẨM ĐỊNH BÁO CÁO ĐỀ XUẤT CHỦ TRƯƠNG ĐẦU TƯ</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lastRenderedPageBreak/>
        <w:t>1. Văn bản đề nghị thẩm định.</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2. Dự thảo tờ trình đề nghị quyết định chủ trương đầu tư (hoặc điều chỉnh chủ trương đầu tư).</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3. Báo cáo đề xuất chủ trương đầu tư (hoặc nội dung điều chỉnh Báo cáo đề xuất chủ trương đầu tư).</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4. Văn bản chấp thuận việc nhà đầu tư lập Báo cáo đề xuất chủ trương đầu tư (trường hợp dự án do nhà đầu tư đề xuất).</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5. Quyết định sử dụng tài sản công để tham gia dự án PPP theo quy định của pháp luật về quản lý, sử dụng tài sản công (trường hợp dự án sử dụng tài sản công làm vốn nhà nước hỗ trợ xây dựng công trình, hệ thống cơ sở hạ tầng).</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6. Tài liệu pháp lý khác có liên quan của dự án.</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b/>
          <w:bCs/>
          <w:color w:val="000000"/>
          <w:lang w:val="en-GB"/>
        </w:rPr>
        <w:t>II. THÀNH PHẦN HỒ SƠ ĐỀ NGHỊ QUYẾT ĐỊNH CHỦ TRƯƠNG ĐẦU TƯ (HOẶC ĐIỀU CHỈNH CHỦ TRƯƠNG ĐẦU TƯ)</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1. Tờ trình đề nghị quyết định chủ trương đầu tư (hoặc điều chỉnh chủ trương đầu tư).</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2. Dự thảo quyết định chủ trương đầu tư (hoặc quyết định điều chỉnh chủ trương đầu tư).</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3. Báo cáo đề xuất chủ trương đầu tư (hoặc nội dung điều chỉnh Báo cáo đề xuất chủ trương đầu tư).</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4. Báo cáo thẩm định Báo cáo đề xuất chủ trương đầu tư (hoặc báo cáo thẩm định đối với các nội dung điều chỉnh).</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5. Tài liệu pháp lý khác có liên quan của dự án.</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b/>
          <w:bCs/>
          <w:color w:val="000000"/>
          <w:lang w:val="en-GB"/>
        </w:rPr>
        <w:t>D. NỘI DUNG BÁO CÁO ĐỀ XUẤT CHỦ TRƯƠNG ĐẦU TƯ</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b/>
          <w:bCs/>
          <w:color w:val="000000"/>
          <w:lang w:val="en-GB"/>
        </w:rPr>
        <w:t>I. SỰ CẦN THIẾT ĐẦU TƯ DỰ ÁN</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1. Bối cảnh chung</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 Thuyết minh sơ bộ bối cảnh chung về kinh tế - xã hội của quốc gia, địa phương trong giai đoạn dự án được triển khai.</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 Đánh giá tổng quan về ngành, lĩnh vực mà dự án đề xuất, các ảnh hưởng trực tiếp, gián tiếp của các quy định pháp luật chuyên ngành đối với dự án.</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 Phân tích sự phù hợp của dự án đối với chiến lược, kế hoạch phát triển kinh tế - xã hội của quốc gia và quy hoạch có liên quan theo quy định của pháp luật về quy hoạch.</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2. Hiện trạng khu vực thực hiện dự án</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 Trường hợp dự án khởi công mới, thuyết minh về hiện trạng, thực trạng của khu vực, địa điểm sẽ triển khai dự án.</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 Trường hợp dự án cải tạo, sửa chữa, nâng cấp, đánh giá bổ sung hiện trạng của công trình cần cải tạo, sửa chữa, nâng cấp.</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3. Các dự án có liên quan</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Nêu thông tin cơ bản về các dự án có liên quan và ảnh hưởng tích cực, tiêu cực của các dự án đó đối với dự án được đề xuất.</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lastRenderedPageBreak/>
        <w:t>4. Lợi thế của việc đầu tư theo phương thức PPP</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Phân tích lợi thế đối với dự án khi đầu tư theo phương thức PPP so với phương thức đầu tư khác trên cơ sở các nội dung: Khả năng thu hút nguồn vốn, công nghệ, kinh nghiệm quản lý của khu vực tư nhân; khả năng phân chia rủi ro giữa các bên có liên quan và các nội dung khác.</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5. Tác động môi trường</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Sơ bộ tác động môi trường theo quy định của pháp luật về bảo vệ môi trường như quy định đối với dự án đầu tư công.</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b/>
          <w:bCs/>
          <w:color w:val="000000"/>
          <w:lang w:val="en-GB"/>
        </w:rPr>
        <w:t>II. THÔNG TIN SƠ BỘ VỀ DỰ ÁN</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1. Mục tiêu của dự án</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Thuyết minh sơ bộ các mục tiêu tổng thể và mục tiêu cụ thể mà dự án cần đạt được trong bối cảnh, hiện trạng đã phân tích ở các mục trên.</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2. Quy mô, công suất của dự án</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Phân tích sơ bộ nhu cầu sử dụng công trình, hệ thống cơ sở hạ tầng; sản phẩm, dịch vụ công được cung cấp trên cơ sở quy hoạch, dữ liệu khảo sát thực tiễn hoặc các số liệu dự báo; thuyết minh quy mô, công suất của dự án.</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3. Địa điểm thực hiện dự án</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Mô tả địa điểm, khu đất thực hiện dự án và các dự án hoặc công trình khác đang hoặc sắp được triển khai trong vùng lân cận có quy hoạch hoặc liên quan đến dự án (nếu có).</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4. Nhu cầu sử dụng đất, mặt nước và tài nguyên khác (nếu có)</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Nêu diện tích, hiện trạng đất, mặt nước và tài nguyên khác (nếu có) được sử dụng để thực hiện dự án.</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5. Phương án bồi thường, hỗ trợ, tái định cư</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Trường hợp hiện trạng khu đất chưa được giải phóng mặt bằng, thuyết minh sơ bộ phương án bồi thường, hỗ trợ, tái định cư đối với dự án đang được đề xuất theo quy định hiện hành.</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b/>
          <w:bCs/>
          <w:color w:val="000000"/>
          <w:lang w:val="en-GB"/>
        </w:rPr>
        <w:t>III. PHÂN TÍCH TÀI CHÍNH DỰ ÁN</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1. Các thông số đầu vào sử dụng trong mô hình tài chính</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 Chi phí trong suốt vòng đời dự án: Chi phí trong suốt vòng đời dự án gồm tổng mức đầu tư và chi phí khai thác, vận hành trong suốt vòng đời dự án. Trong đó, tổng mức đầu tư được xác định theo pháp luật về xây dựng đối với dự án có cấu phần xây dựng hoặc theo pháp luật khác có liên quan đối với dự án không có cấu phần xây dựng. Chi phí khai thác, vận hành trong suốt vòng đời dự án bằng các chi phí liên quan đến vận hành và bảo dưỡng công trình dự án; các chi phí nhân lực để vận hành và bảo dưỡng công trình dự án; chi phí quản lý dự án; chi phí tư vấn giám sát, dự phòng...</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 xml:space="preserve">- Doanh thu: xác định doanh thu của dự án qua từng năm (doanh thu ở mức căn bản, doanh thu ở mức tối đa và doanh thu ở mức tối thiểu) trên cơ sở các nội dung về dự báo nhu cầu; giá, phí sản phẩm, dịch vụ và các khoản thu khác của dự án (xem xét cơ sở pháp </w:t>
      </w:r>
      <w:r w:rsidRPr="00895E73">
        <w:rPr>
          <w:rFonts w:eastAsia="Times New Roman"/>
          <w:color w:val="000000"/>
          <w:lang w:val="en-GB"/>
        </w:rPr>
        <w:lastRenderedPageBreak/>
        <w:t>lý để xác định giá, phí; dự kiến lộ trình tăng giá, phí), trừ trường hợp pháp luật có quy định khác.</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 Các thông số đầu vào khác: Lãi vay, thời gian vay; tỷ lệ lạm phát; tỷ giá; tỷ lệ khấu hao và các thông số khác.</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2. Dự báo nhu cầu</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 Phân tích lưu lượng, nhu cầu sử dụng công trình, hệ thống cơ sở hạ tầng, sản phẩm, dịch vụ công được cung cấp.</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 Phân tích khả năng chi trả của cộng đồng người sử dụng, tổ chức bao tiêu đối với dự án áp dụng loại hợp đồng BOT, BTO và BOO.</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3. Phương án tài chính sơ bộ của dự án</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Trình bày nội dung phương án tài chính sơ bộ (nội dung chi tiết thực hiện theo hướng dẫn của Chính phủ tại Nghị định quy định chi tiết cơ chế tài chính trong dự án PPP), bao gồm:</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 Tổng mức đầu tư: Trên cơ sở các thuyết minh về kỹ thuật được lựa chọn, Báo cáo đề xuất chủ trương đầu tư xác định sơ bộ tổng mức đầu tư của dự án.</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 Cơ cấu nguồn vốn của nhà đầu tư/doanh nghiệp dự án (vốn chủ sở hữu, vốn vay và các nguồn vốn hợp pháp khác) và phương án huy động vốn giả định; thời gian vay, kỳ hạn phát hành trái phiếu doanh nghiệp (nếu có); chi phí huy động vốn: lãi suất vốn vay, lãi suất phát hành trái phiếu doanh nghiệp (nếu có) và chi phí cần thiết liên quan đến huy động vốn (nếu có);</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 Vốn nhà nước tham gia trong dự án dự kiến (nếu có), cụ thể bao gồm:</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 Vốn hỗ trợ xây dựng công trình, hệ thống cơ sở hạ tầng thuộc dự án PPP: vốn đầu tư công, giá trị tài sản công (được xác định trong quyết định sử dụng tài sản công để tham gia dự án PPP theo quy định của pháp luật về quản lý, sử dụng tài sản công);</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 Vốn thanh toán (bao gồm phương thức thanh toán) cho nhà đầu tư thực hiện dự án áp dụng loại hợp đồng BTL, BLT;</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 Vốn nhà nước để chi trả kinh phí bồi thường, giải phóng mặt bằng, hỗ trợ tái định cư, hỗ trợ xây dựng công trình tạm.</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 Phương án thu hồi vốn đầu tư và lợi nhuận của nhà đầu tư trong trường hợp áp dụng loại hợp đồng BOT, BTO và BOO.</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 Thời hạn hợp đồng dự án.</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 Đề xuất ưu đãi đảm bảo phương án tài chính của dự án (nếu có).</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 Dự kiến các khoản chi phí của dự án trong thời gian vận hành.</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 Các thông số đầu vào, chỉ tiêu tài chính.</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4. Các chỉ tiêu tài chính xem xét tính khả thi của dự án</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Căn cứ nội dung sơ bộ phương án tài chính và các thông số đầu vào của mô hình tài chính, tính khả thi về tài chính của dự án được xem xét trên cơ sở chỉ tiêu Giá trị hiện tại ròng tài chính (NPV).</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lastRenderedPageBreak/>
        <w:t>NPV của dự án là giá trị hiện tại của dòng tiền thuần trong suốt vòng đời dự án. Để đảm bảo dự án đạt hiệu quả tài chính, NPV phải dương (&gt; 0) và được tính theo công thức sau:</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noProof/>
          <w:color w:val="000000"/>
        </w:rPr>
        <w:drawing>
          <wp:inline distT="0" distB="0" distL="0" distR="0">
            <wp:extent cx="1219200" cy="485775"/>
            <wp:effectExtent l="0" t="0" r="0" b="9525"/>
            <wp:docPr id="6" name="Picture 6" descr="https://files.thuvienphapluat.vn/doc2htm/00672498_files/image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files.thuvienphapluat.vn/doc2htm/00672498_files/image005.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9200" cy="485775"/>
                    </a:xfrm>
                    <a:prstGeom prst="rect">
                      <a:avLst/>
                    </a:prstGeom>
                    <a:noFill/>
                    <a:ln>
                      <a:noFill/>
                    </a:ln>
                  </pic:spPr>
                </pic:pic>
              </a:graphicData>
            </a:graphic>
          </wp:inline>
        </w:drawing>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Trong đó:</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CF</w:t>
      </w:r>
      <w:r w:rsidRPr="00895E73">
        <w:rPr>
          <w:rFonts w:eastAsia="Times New Roman"/>
          <w:color w:val="000000"/>
          <w:vertAlign w:val="subscript"/>
          <w:lang w:val="en-GB"/>
        </w:rPr>
        <w:t>t</w:t>
      </w:r>
      <w:r w:rsidRPr="00895E73">
        <w:rPr>
          <w:rFonts w:eastAsia="Times New Roman"/>
          <w:color w:val="000000"/>
          <w:lang w:val="en-GB"/>
        </w:rPr>
        <w:t>: giá trị dòng tiền thuần là khoản chênh lệch giữa số tiền thu được (dòng tiền vào) và số tiền chi ra (dòng tiền ra) của dự án tại năm thứ t;</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t: năm trong vòng đời dự án (0, 1, 2,..., n);</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n: số năm hoạt động của dự án (thời hạn hợp đồng dự án);</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r: tỷ suất chiết khấu.</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5. Đánh giá phương án tài chính và kết luận sơ bộ về tính khả thi tài chính của dự án</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Trên cơ sở các phân tích tại các Mục nêu trên, căn cứ tính chất của từng loại hợp đồng dự án, kết luận sơ bộ về tính khả thi tài chính của dự án.</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b/>
          <w:bCs/>
          <w:color w:val="000000"/>
          <w:lang w:val="en-GB"/>
        </w:rPr>
        <w:t>IV. MỘT SỐ NỘI DUNG KHÁC</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1. Loại hợp đồng dự án</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Xác định loại hợp đồng phù hợp với dự án căn cứ thuyết minh về các nội dung sau:</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 Phương án kỹ thuật, công nghệ sơ bộ.</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 Phương án tài chính sơ bộ (dự báo nhu cầu, nguồn thu và khả năng thu hồi vốn cho nhà đầu tư, thời gian hoàn vốn và thời hạn hợp đồng dự án) khả năng chi trả của cộng đồng người sử dụng, tổ chức bao tiêu đối với dự án áp dụng loại hợp đồng BOT, BTO, BOO).</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2. Phân tích rủi ro trong quá trình thực hiện dự án</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Thuyết minh sơ bộ một số rủi ro chính có thể phát sinh trong suốt vòng đời dự án, bao gồm: Rủi ro về pháp lý (thay đổi chính sách, pháp luật), rủi ro về quyền sử dụng đất, rủi ro về môi trường, rủi ro về kỹ thuật, công nghệ được lựa chọn, rủi ro về thiết kế và xây dựng, rủi ro về tài khóa (ngân sách trung ương, địa phương, khả năng cung cấp bảo lãnh...), rủi ro về doanh thu (nhu cầu của thị trường, lưu lượng...), rủi ro vận hành...</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3. Cơ chế chia sẻ phần giảm doanh thu</w:t>
      </w:r>
    </w:p>
    <w:p w:rsidR="00895E73" w:rsidRPr="00895E73" w:rsidRDefault="00895E73" w:rsidP="00895E73">
      <w:pPr>
        <w:shd w:val="clear" w:color="auto" w:fill="FFFFFF"/>
        <w:spacing w:line="234" w:lineRule="atLeast"/>
        <w:rPr>
          <w:rFonts w:eastAsia="Times New Roman"/>
          <w:color w:val="000000"/>
        </w:rPr>
      </w:pPr>
      <w:r w:rsidRPr="00895E73">
        <w:rPr>
          <w:rFonts w:eastAsia="Times New Roman"/>
          <w:color w:val="000000"/>
          <w:lang w:val="en-GB"/>
        </w:rPr>
        <w:t>Căn cứ phân tích sơ bộ một số rủi ro chính có thể phát sinh trong suốt vòng đời dự án và các điều kiện quy định tại </w:t>
      </w:r>
      <w:bookmarkStart w:id="2" w:name="dc_122"/>
      <w:r w:rsidRPr="00895E73">
        <w:rPr>
          <w:rFonts w:eastAsia="Times New Roman"/>
          <w:color w:val="000000"/>
          <w:lang w:val="en-GB"/>
        </w:rPr>
        <w:t>Điều 82 của Luật PPP</w:t>
      </w:r>
      <w:bookmarkEnd w:id="2"/>
      <w:r w:rsidRPr="00895E73">
        <w:rPr>
          <w:rFonts w:eastAsia="Times New Roman"/>
          <w:color w:val="000000"/>
          <w:lang w:val="en-GB"/>
        </w:rPr>
        <w:t>, thuyết minh lý do và đề xuất phương án áp dụng cơ chế chia sẻ rủi ro về doanh thu giữa nhà nước và doanh nghiệp dự án (bao gồm: biện pháp phải thực hiện trước khi áp dụng; thời gian áp dụng; thời điểm bắt đầu áp dụng cơ chế và nội dung cần thiết khác).</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4. Tổ chức quản lý thực hiện dự án PPP</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 Thuyết minh hình thức, cơ cấu tổ chức quản lý thực hiện dự án của cơ quan có thẩm quyền, nhà đầu tư, doanh nghiệp dự án đối với từng giai đoạn cụ thể; phương thức để cơ quan có thẩm quyền phối hợp với nhà đầu tư, doanh nghiệp dự án trong quá trình thực hiện dự án.</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lastRenderedPageBreak/>
        <w:t>- Thuyết minh sơ bộ các nội dung quản lý thực hiện dự án bao gồm: nội dung và phương thức giám sát chất lượng công trình; giám sát thực hiện hợp đồng dự án, đảm bảo cung cấp sản phẩm, dịch vụ công ổn định, liên tục; phương thức nhà đầu tư, doanh nghiệp dự án thực hiện kinh doanh, khai thác công trình dự án, cung cấp dịch vụ.</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5. Lựa chọn nhà đầu tư</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Trường hợp đề xuất áp dụng hình thức chỉ định nhà đầu tư, lựa chọn nhà đầu tư trong trường hợp đặc biệt, nêu căn cứ áp dụng hình thức này.</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6. Kế hoạch thực hiện dự án</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Thời gian thực hiện dự án: Dự kiến thời gian chuẩn bị dự án (bao gồm thời gian lập, thẩm định Báo cáo đề xuất chủ trương đầu tư và quyết định chủ trương đầu tư; lập, thẩm định báo cáo nghiên cứu khả thi và phê duyệt dự án); thời gian tổ chức lựa chọn nhà đầu tư và ký kết hợp đồng; tiến độ xây dựng công trình, hệ thống cơ sở hạ tầng, thời hạn hợp đồng dự án.</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b/>
          <w:bCs/>
          <w:color w:val="000000"/>
          <w:lang w:val="en-GB"/>
        </w:rPr>
        <w:t>Đ. KẾT LUẬN VÀ KIẾN NGHỊ</w:t>
      </w:r>
    </w:p>
    <w:p w:rsidR="00895E73" w:rsidRPr="00895E73" w:rsidRDefault="00895E73" w:rsidP="00895E73">
      <w:pPr>
        <w:shd w:val="clear" w:color="auto" w:fill="FFFFFF"/>
        <w:spacing w:line="234" w:lineRule="atLeast"/>
        <w:rPr>
          <w:rFonts w:eastAsia="Times New Roman"/>
          <w:color w:val="000000"/>
        </w:rPr>
      </w:pPr>
      <w:r w:rsidRPr="00895E73">
        <w:rPr>
          <w:rFonts w:eastAsia="Times New Roman"/>
          <w:color w:val="000000"/>
          <w:lang w:val="en-GB"/>
        </w:rPr>
        <w:t>Trình bày kết luận về việc dự án đáp ứng các điều kiện để đầu tư theo phương thức PPP quy định tại </w:t>
      </w:r>
      <w:bookmarkStart w:id="3" w:name="dc_123"/>
      <w:r w:rsidRPr="00895E73">
        <w:rPr>
          <w:rFonts w:eastAsia="Times New Roman"/>
          <w:color w:val="000000"/>
          <w:lang w:val="en-GB"/>
        </w:rPr>
        <w:t>khoản 1 Điều 14 của Luật PPP</w:t>
      </w:r>
      <w:bookmarkEnd w:id="3"/>
      <w:r w:rsidRPr="00895E73">
        <w:rPr>
          <w:rFonts w:eastAsia="Times New Roman"/>
          <w:color w:val="000000"/>
          <w:lang w:val="en-GB"/>
        </w:rPr>
        <w:t>.</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Trình bày các kiến nghị cấp có thẩm quyền thực hiện thủ tục thẩm định, quyết định chủ trương đầu tư dự án và xác định các nội dung cần được nghiên cứu chi tiết tại báo cáo nghiên cứu khả thi.</w:t>
      </w:r>
    </w:p>
    <w:p w:rsidR="00895E73" w:rsidRPr="00895E73" w:rsidRDefault="00895E73" w:rsidP="00895E73">
      <w:pPr>
        <w:shd w:val="clear" w:color="auto" w:fill="FFFFFF"/>
        <w:spacing w:before="120" w:after="120" w:line="234" w:lineRule="atLeast"/>
        <w:rPr>
          <w:rFonts w:eastAsia="Times New Roman"/>
          <w:color w:val="000000"/>
        </w:rPr>
      </w:pPr>
      <w:r w:rsidRPr="00895E73">
        <w:rPr>
          <w:rFonts w:eastAsia="Times New Roman"/>
          <w:color w:val="000000"/>
          <w:lang w:val="en-GB"/>
        </w:rPr>
        <w:t> </w:t>
      </w:r>
    </w:p>
    <w:p w:rsidR="005E77DF" w:rsidRPr="00895E73" w:rsidRDefault="005E77DF" w:rsidP="005A2989"/>
    <w:sectPr w:rsidR="005E77DF" w:rsidRPr="00895E73" w:rsidSect="002E3B08">
      <w:headerReference w:type="even" r:id="rId9"/>
      <w:headerReference w:type="default" r:id="rId10"/>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5CCA" w:rsidRDefault="00CE5CCA" w:rsidP="00CD0C9D">
      <w:r>
        <w:separator/>
      </w:r>
    </w:p>
  </w:endnote>
  <w:endnote w:type="continuationSeparator" w:id="0">
    <w:p w:rsidR="00CE5CCA" w:rsidRDefault="00CE5CCA"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Arial Unicode MS"/>
    <w:panose1 w:val="02010600030101010101"/>
    <w:charset w:val="86"/>
    <w:family w:val="auto"/>
    <w:notTrueType/>
    <w:pitch w:val="variable"/>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Courier New"/>
    <w:charset w:val="00"/>
    <w:family w:val="swiss"/>
    <w:pitch w:val="variable"/>
    <w:sig w:usb0="00000001" w:usb1="00000000" w:usb2="00000000" w:usb3="00000000" w:csb0="00000013" w:csb1="00000000"/>
  </w:font>
  <w:font w:name="TCVN1-Nueva-BoldExtended">
    <w:charset w:val="00"/>
    <w:family w:val="roman"/>
    <w:pitch w:val="variable"/>
    <w:sig w:usb0="00000003" w:usb1="00000000" w:usb2="00000000" w:usb3="00000000" w:csb0="00000001" w:csb1="00000000"/>
  </w:font>
  <w:font w:name="TCVN1-Slogan">
    <w:charset w:val="00"/>
    <w:family w:val="roman"/>
    <w:pitch w:val="variable"/>
    <w:sig w:usb0="00000003" w:usb1="00000000" w:usb2="00000000" w:usb3="00000000" w:csb0="00000001" w:csb1="00000000"/>
  </w:font>
  <w:font w:name=".VnCentury Schoolbook">
    <w:altName w:val="Calibri"/>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nArialH">
    <w:altName w:val="Courier"/>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5CCA" w:rsidRDefault="00CE5CCA" w:rsidP="00CD0C9D">
      <w:r>
        <w:separator/>
      </w:r>
    </w:p>
  </w:footnote>
  <w:footnote w:type="continuationSeparator" w:id="0">
    <w:p w:rsidR="00CE5CCA" w:rsidRDefault="00CE5CCA"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0382A"/>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833DF7"/>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2587CF9"/>
    <w:multiLevelType w:val="multilevel"/>
    <w:tmpl w:val="72CA5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EF17BB"/>
    <w:multiLevelType w:val="multilevel"/>
    <w:tmpl w:val="10A84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5A627DB"/>
    <w:multiLevelType w:val="multilevel"/>
    <w:tmpl w:val="9182C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B6D4B29"/>
    <w:multiLevelType w:val="multilevel"/>
    <w:tmpl w:val="765AD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F6A6F10"/>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664794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8590B9B"/>
    <w:multiLevelType w:val="multilevel"/>
    <w:tmpl w:val="80A6C1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Times New Roman" w:eastAsia="Times New Roman" w:hAnsi="Times New Roman"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A930B87"/>
    <w:multiLevelType w:val="multilevel"/>
    <w:tmpl w:val="F3603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4334A7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C7B7821"/>
    <w:multiLevelType w:val="multilevel"/>
    <w:tmpl w:val="9D16C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12439E9"/>
    <w:multiLevelType w:val="multilevel"/>
    <w:tmpl w:val="C938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6C7118F"/>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F652CB9"/>
    <w:multiLevelType w:val="hybridMultilevel"/>
    <w:tmpl w:val="FC4C739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nsid w:val="51126C46"/>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64565C1"/>
    <w:multiLevelType w:val="hybridMultilevel"/>
    <w:tmpl w:val="A43C145E"/>
    <w:lvl w:ilvl="0" w:tplc="7C1A8C52">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5AAD6178"/>
    <w:multiLevelType w:val="multilevel"/>
    <w:tmpl w:val="E62A5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AD55BB2"/>
    <w:multiLevelType w:val="hybridMultilevel"/>
    <w:tmpl w:val="8146C532"/>
    <w:lvl w:ilvl="0" w:tplc="4FDAEE60">
      <w:start w:val="1"/>
      <w:numFmt w:val="decimal"/>
      <w:suff w:val="nothing"/>
      <w:lvlText w:val="Mẫu số %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C476191"/>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0933C56"/>
    <w:multiLevelType w:val="multilevel"/>
    <w:tmpl w:val="CE48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0C24E9E"/>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57D397E"/>
    <w:multiLevelType w:val="multilevel"/>
    <w:tmpl w:val="A988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6C02EF2"/>
    <w:multiLevelType w:val="multilevel"/>
    <w:tmpl w:val="72DA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B14236B"/>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8424C5C"/>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A4443C0"/>
    <w:multiLevelType w:val="multilevel"/>
    <w:tmpl w:val="DCA0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A62440A"/>
    <w:multiLevelType w:val="multilevel"/>
    <w:tmpl w:val="DCD4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AA860FD"/>
    <w:multiLevelType w:val="multilevel"/>
    <w:tmpl w:val="37948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3"/>
  </w:num>
  <w:num w:numId="2">
    <w:abstractNumId w:val="12"/>
  </w:num>
  <w:num w:numId="3">
    <w:abstractNumId w:val="22"/>
  </w:num>
  <w:num w:numId="4">
    <w:abstractNumId w:val="27"/>
  </w:num>
  <w:num w:numId="5">
    <w:abstractNumId w:val="20"/>
  </w:num>
  <w:num w:numId="6">
    <w:abstractNumId w:val="18"/>
  </w:num>
  <w:num w:numId="7">
    <w:abstractNumId w:val="9"/>
  </w:num>
  <w:num w:numId="8">
    <w:abstractNumId w:val="16"/>
  </w:num>
  <w:num w:numId="9">
    <w:abstractNumId w:val="11"/>
  </w:num>
  <w:num w:numId="10">
    <w:abstractNumId w:val="28"/>
  </w:num>
  <w:num w:numId="11">
    <w:abstractNumId w:val="3"/>
  </w:num>
  <w:num w:numId="12">
    <w:abstractNumId w:val="4"/>
  </w:num>
  <w:num w:numId="13">
    <w:abstractNumId w:val="5"/>
  </w:num>
  <w:num w:numId="14">
    <w:abstractNumId w:val="2"/>
  </w:num>
  <w:num w:numId="15">
    <w:abstractNumId w:val="8"/>
  </w:num>
  <w:num w:numId="16">
    <w:abstractNumId w:val="14"/>
  </w:num>
  <w:num w:numId="17">
    <w:abstractNumId w:val="1"/>
  </w:num>
  <w:num w:numId="18">
    <w:abstractNumId w:val="6"/>
  </w:num>
  <w:num w:numId="19">
    <w:abstractNumId w:val="15"/>
  </w:num>
  <w:num w:numId="20">
    <w:abstractNumId w:val="0"/>
  </w:num>
  <w:num w:numId="21">
    <w:abstractNumId w:val="21"/>
  </w:num>
  <w:num w:numId="22">
    <w:abstractNumId w:val="13"/>
  </w:num>
  <w:num w:numId="23">
    <w:abstractNumId w:val="19"/>
  </w:num>
  <w:num w:numId="24">
    <w:abstractNumId w:val="10"/>
  </w:num>
  <w:num w:numId="25">
    <w:abstractNumId w:val="24"/>
  </w:num>
  <w:num w:numId="26">
    <w:abstractNumId w:val="25"/>
  </w:num>
  <w:num w:numId="27">
    <w:abstractNumId w:val="7"/>
  </w:num>
  <w:num w:numId="28">
    <w:abstractNumId w:val="17"/>
  </w:num>
  <w:num w:numId="2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2E6E"/>
    <w:rsid w:val="000051FD"/>
    <w:rsid w:val="000054EE"/>
    <w:rsid w:val="000063C7"/>
    <w:rsid w:val="0000651B"/>
    <w:rsid w:val="00006E9B"/>
    <w:rsid w:val="000125B3"/>
    <w:rsid w:val="000200E6"/>
    <w:rsid w:val="00021ACE"/>
    <w:rsid w:val="00021F4A"/>
    <w:rsid w:val="00022769"/>
    <w:rsid w:val="00026B2E"/>
    <w:rsid w:val="00036E34"/>
    <w:rsid w:val="000373C2"/>
    <w:rsid w:val="00037930"/>
    <w:rsid w:val="000450DB"/>
    <w:rsid w:val="00047445"/>
    <w:rsid w:val="000475A9"/>
    <w:rsid w:val="00052C9F"/>
    <w:rsid w:val="000551A7"/>
    <w:rsid w:val="00055359"/>
    <w:rsid w:val="0005638B"/>
    <w:rsid w:val="00057D92"/>
    <w:rsid w:val="000604D8"/>
    <w:rsid w:val="000618A8"/>
    <w:rsid w:val="000656C0"/>
    <w:rsid w:val="00066229"/>
    <w:rsid w:val="000663B5"/>
    <w:rsid w:val="000668EA"/>
    <w:rsid w:val="00071068"/>
    <w:rsid w:val="00073CE8"/>
    <w:rsid w:val="000749EC"/>
    <w:rsid w:val="00074B76"/>
    <w:rsid w:val="000758D4"/>
    <w:rsid w:val="0007673A"/>
    <w:rsid w:val="00080111"/>
    <w:rsid w:val="00082EF4"/>
    <w:rsid w:val="00083DFC"/>
    <w:rsid w:val="00085BE7"/>
    <w:rsid w:val="0008788D"/>
    <w:rsid w:val="00095274"/>
    <w:rsid w:val="000953A8"/>
    <w:rsid w:val="000963E2"/>
    <w:rsid w:val="000A5083"/>
    <w:rsid w:val="000A5310"/>
    <w:rsid w:val="000A5C7D"/>
    <w:rsid w:val="000A61DF"/>
    <w:rsid w:val="000A683B"/>
    <w:rsid w:val="000B07B5"/>
    <w:rsid w:val="000B09FB"/>
    <w:rsid w:val="000B2C79"/>
    <w:rsid w:val="000B2CBA"/>
    <w:rsid w:val="000B3895"/>
    <w:rsid w:val="000B457D"/>
    <w:rsid w:val="000B7AEA"/>
    <w:rsid w:val="000C2445"/>
    <w:rsid w:val="000C2BD4"/>
    <w:rsid w:val="000D793A"/>
    <w:rsid w:val="000E0EB5"/>
    <w:rsid w:val="000E2F82"/>
    <w:rsid w:val="000F72C1"/>
    <w:rsid w:val="0010054E"/>
    <w:rsid w:val="00100FEC"/>
    <w:rsid w:val="0010173D"/>
    <w:rsid w:val="00105649"/>
    <w:rsid w:val="00105AED"/>
    <w:rsid w:val="00105D59"/>
    <w:rsid w:val="00107598"/>
    <w:rsid w:val="00107C93"/>
    <w:rsid w:val="00110577"/>
    <w:rsid w:val="00110A02"/>
    <w:rsid w:val="00112B0C"/>
    <w:rsid w:val="00113B87"/>
    <w:rsid w:val="0012035D"/>
    <w:rsid w:val="00120828"/>
    <w:rsid w:val="0012223F"/>
    <w:rsid w:val="00122AD7"/>
    <w:rsid w:val="00122FAE"/>
    <w:rsid w:val="0012307D"/>
    <w:rsid w:val="0012315A"/>
    <w:rsid w:val="001239C3"/>
    <w:rsid w:val="001260E3"/>
    <w:rsid w:val="00126254"/>
    <w:rsid w:val="0012722A"/>
    <w:rsid w:val="00127B6A"/>
    <w:rsid w:val="001318BB"/>
    <w:rsid w:val="0014113C"/>
    <w:rsid w:val="00142AF1"/>
    <w:rsid w:val="00143D30"/>
    <w:rsid w:val="001513E1"/>
    <w:rsid w:val="00151B2E"/>
    <w:rsid w:val="00152956"/>
    <w:rsid w:val="001541DB"/>
    <w:rsid w:val="00154332"/>
    <w:rsid w:val="001558D7"/>
    <w:rsid w:val="001563EF"/>
    <w:rsid w:val="00156A98"/>
    <w:rsid w:val="001573EC"/>
    <w:rsid w:val="00161744"/>
    <w:rsid w:val="001629A2"/>
    <w:rsid w:val="0016597B"/>
    <w:rsid w:val="001661EC"/>
    <w:rsid w:val="0016671D"/>
    <w:rsid w:val="00170410"/>
    <w:rsid w:val="00171380"/>
    <w:rsid w:val="00171D47"/>
    <w:rsid w:val="00172298"/>
    <w:rsid w:val="0017554D"/>
    <w:rsid w:val="00176583"/>
    <w:rsid w:val="00176D20"/>
    <w:rsid w:val="001770E3"/>
    <w:rsid w:val="00180941"/>
    <w:rsid w:val="00187374"/>
    <w:rsid w:val="001902BA"/>
    <w:rsid w:val="00193852"/>
    <w:rsid w:val="00197D8C"/>
    <w:rsid w:val="001A00CD"/>
    <w:rsid w:val="001A05FF"/>
    <w:rsid w:val="001A1A99"/>
    <w:rsid w:val="001A1E0D"/>
    <w:rsid w:val="001A44E8"/>
    <w:rsid w:val="001B23CF"/>
    <w:rsid w:val="001B5E61"/>
    <w:rsid w:val="001B6564"/>
    <w:rsid w:val="001B7EEE"/>
    <w:rsid w:val="001C6271"/>
    <w:rsid w:val="001D0C1A"/>
    <w:rsid w:val="001D368C"/>
    <w:rsid w:val="001E24D3"/>
    <w:rsid w:val="001E252E"/>
    <w:rsid w:val="001E7893"/>
    <w:rsid w:val="001E7A87"/>
    <w:rsid w:val="001F03CB"/>
    <w:rsid w:val="00200AC7"/>
    <w:rsid w:val="00202E6A"/>
    <w:rsid w:val="00203088"/>
    <w:rsid w:val="00203A64"/>
    <w:rsid w:val="00203B83"/>
    <w:rsid w:val="00205AB1"/>
    <w:rsid w:val="00210669"/>
    <w:rsid w:val="0021198E"/>
    <w:rsid w:val="00213507"/>
    <w:rsid w:val="00220DF4"/>
    <w:rsid w:val="0022174E"/>
    <w:rsid w:val="00226F01"/>
    <w:rsid w:val="00231FD0"/>
    <w:rsid w:val="00233A8A"/>
    <w:rsid w:val="00233CB5"/>
    <w:rsid w:val="002415B3"/>
    <w:rsid w:val="00242A29"/>
    <w:rsid w:val="00246DE3"/>
    <w:rsid w:val="0024744F"/>
    <w:rsid w:val="00247ACB"/>
    <w:rsid w:val="002522E9"/>
    <w:rsid w:val="00255782"/>
    <w:rsid w:val="002568E2"/>
    <w:rsid w:val="00260998"/>
    <w:rsid w:val="00264948"/>
    <w:rsid w:val="00265BC7"/>
    <w:rsid w:val="00266308"/>
    <w:rsid w:val="00267658"/>
    <w:rsid w:val="00273E2E"/>
    <w:rsid w:val="00275547"/>
    <w:rsid w:val="002801C1"/>
    <w:rsid w:val="0028086B"/>
    <w:rsid w:val="00282B09"/>
    <w:rsid w:val="00284EAE"/>
    <w:rsid w:val="002865AB"/>
    <w:rsid w:val="0029427B"/>
    <w:rsid w:val="00295E83"/>
    <w:rsid w:val="00296C13"/>
    <w:rsid w:val="002A038B"/>
    <w:rsid w:val="002A216B"/>
    <w:rsid w:val="002A755F"/>
    <w:rsid w:val="002A7B9E"/>
    <w:rsid w:val="002B0D39"/>
    <w:rsid w:val="002B18EF"/>
    <w:rsid w:val="002B6FC1"/>
    <w:rsid w:val="002C0148"/>
    <w:rsid w:val="002C2564"/>
    <w:rsid w:val="002C604F"/>
    <w:rsid w:val="002C6740"/>
    <w:rsid w:val="002D1F80"/>
    <w:rsid w:val="002D2CF5"/>
    <w:rsid w:val="002D5033"/>
    <w:rsid w:val="002D6B10"/>
    <w:rsid w:val="002E029C"/>
    <w:rsid w:val="002E3B08"/>
    <w:rsid w:val="002E44AA"/>
    <w:rsid w:val="002E4843"/>
    <w:rsid w:val="002F0758"/>
    <w:rsid w:val="002F140D"/>
    <w:rsid w:val="002F53BA"/>
    <w:rsid w:val="002F7A41"/>
    <w:rsid w:val="003006E9"/>
    <w:rsid w:val="00303646"/>
    <w:rsid w:val="00305A3F"/>
    <w:rsid w:val="00305A99"/>
    <w:rsid w:val="00305EDB"/>
    <w:rsid w:val="00312A9E"/>
    <w:rsid w:val="003131BA"/>
    <w:rsid w:val="00315BA6"/>
    <w:rsid w:val="003168A1"/>
    <w:rsid w:val="00317515"/>
    <w:rsid w:val="00320115"/>
    <w:rsid w:val="00322437"/>
    <w:rsid w:val="003241AA"/>
    <w:rsid w:val="00324FAA"/>
    <w:rsid w:val="0032712A"/>
    <w:rsid w:val="00327179"/>
    <w:rsid w:val="00334C08"/>
    <w:rsid w:val="00335E4B"/>
    <w:rsid w:val="003361CB"/>
    <w:rsid w:val="0034112A"/>
    <w:rsid w:val="00346489"/>
    <w:rsid w:val="00350443"/>
    <w:rsid w:val="0035245B"/>
    <w:rsid w:val="003537DA"/>
    <w:rsid w:val="00353BDC"/>
    <w:rsid w:val="00354D85"/>
    <w:rsid w:val="00355BC2"/>
    <w:rsid w:val="00361C2E"/>
    <w:rsid w:val="00363B3D"/>
    <w:rsid w:val="00365F54"/>
    <w:rsid w:val="00367FE6"/>
    <w:rsid w:val="00370579"/>
    <w:rsid w:val="00370AF9"/>
    <w:rsid w:val="00371FE3"/>
    <w:rsid w:val="003748AA"/>
    <w:rsid w:val="00381C49"/>
    <w:rsid w:val="003844B7"/>
    <w:rsid w:val="00386DE5"/>
    <w:rsid w:val="003879FB"/>
    <w:rsid w:val="00394E3E"/>
    <w:rsid w:val="00396BA0"/>
    <w:rsid w:val="003A49AD"/>
    <w:rsid w:val="003A50AF"/>
    <w:rsid w:val="003A5557"/>
    <w:rsid w:val="003A667A"/>
    <w:rsid w:val="003B3943"/>
    <w:rsid w:val="003B44CD"/>
    <w:rsid w:val="003B4B8E"/>
    <w:rsid w:val="003B7152"/>
    <w:rsid w:val="003C1784"/>
    <w:rsid w:val="003C2B48"/>
    <w:rsid w:val="003C35F9"/>
    <w:rsid w:val="003C572B"/>
    <w:rsid w:val="003D0EAA"/>
    <w:rsid w:val="003D3D38"/>
    <w:rsid w:val="003D4A48"/>
    <w:rsid w:val="003D5FCA"/>
    <w:rsid w:val="003D63CD"/>
    <w:rsid w:val="003D7851"/>
    <w:rsid w:val="003E1576"/>
    <w:rsid w:val="003E3354"/>
    <w:rsid w:val="003E44E5"/>
    <w:rsid w:val="003F0C35"/>
    <w:rsid w:val="003F186E"/>
    <w:rsid w:val="003F26A5"/>
    <w:rsid w:val="003F2B19"/>
    <w:rsid w:val="003F4FF7"/>
    <w:rsid w:val="004005C6"/>
    <w:rsid w:val="004022CE"/>
    <w:rsid w:val="00405092"/>
    <w:rsid w:val="0040642A"/>
    <w:rsid w:val="00406AE5"/>
    <w:rsid w:val="004119A9"/>
    <w:rsid w:val="00415189"/>
    <w:rsid w:val="00415A41"/>
    <w:rsid w:val="004169B0"/>
    <w:rsid w:val="00423B7A"/>
    <w:rsid w:val="004255CA"/>
    <w:rsid w:val="00431261"/>
    <w:rsid w:val="00431343"/>
    <w:rsid w:val="004327EB"/>
    <w:rsid w:val="0043657F"/>
    <w:rsid w:val="00444B3C"/>
    <w:rsid w:val="00446FD1"/>
    <w:rsid w:val="00447E1D"/>
    <w:rsid w:val="00450B4C"/>
    <w:rsid w:val="00451A58"/>
    <w:rsid w:val="00453907"/>
    <w:rsid w:val="00456DB9"/>
    <w:rsid w:val="004625EB"/>
    <w:rsid w:val="00462969"/>
    <w:rsid w:val="00462F32"/>
    <w:rsid w:val="00463374"/>
    <w:rsid w:val="0046355D"/>
    <w:rsid w:val="00463EB6"/>
    <w:rsid w:val="00464BED"/>
    <w:rsid w:val="00465D7F"/>
    <w:rsid w:val="00470245"/>
    <w:rsid w:val="00471F15"/>
    <w:rsid w:val="0047700D"/>
    <w:rsid w:val="004823B1"/>
    <w:rsid w:val="00482D8D"/>
    <w:rsid w:val="004837EC"/>
    <w:rsid w:val="004861B9"/>
    <w:rsid w:val="004908CB"/>
    <w:rsid w:val="004B3843"/>
    <w:rsid w:val="004B4C54"/>
    <w:rsid w:val="004B58D6"/>
    <w:rsid w:val="004B5BDD"/>
    <w:rsid w:val="004B755D"/>
    <w:rsid w:val="004C01FB"/>
    <w:rsid w:val="004C5295"/>
    <w:rsid w:val="004D0A91"/>
    <w:rsid w:val="004D2DBF"/>
    <w:rsid w:val="004D618B"/>
    <w:rsid w:val="004D6A7E"/>
    <w:rsid w:val="004D6D0E"/>
    <w:rsid w:val="004D763B"/>
    <w:rsid w:val="004E0A9B"/>
    <w:rsid w:val="004E0AC1"/>
    <w:rsid w:val="004E1C3B"/>
    <w:rsid w:val="004E3635"/>
    <w:rsid w:val="004E539A"/>
    <w:rsid w:val="004E6084"/>
    <w:rsid w:val="004E7286"/>
    <w:rsid w:val="004F0C76"/>
    <w:rsid w:val="004F19BF"/>
    <w:rsid w:val="004F2761"/>
    <w:rsid w:val="004F6ADF"/>
    <w:rsid w:val="005027A9"/>
    <w:rsid w:val="00502F90"/>
    <w:rsid w:val="005042B7"/>
    <w:rsid w:val="005064C9"/>
    <w:rsid w:val="0051070C"/>
    <w:rsid w:val="00511C6B"/>
    <w:rsid w:val="00511CE4"/>
    <w:rsid w:val="0051343A"/>
    <w:rsid w:val="00514D69"/>
    <w:rsid w:val="00514DB1"/>
    <w:rsid w:val="00520AE9"/>
    <w:rsid w:val="00523F7D"/>
    <w:rsid w:val="00525138"/>
    <w:rsid w:val="00530C5B"/>
    <w:rsid w:val="005319FE"/>
    <w:rsid w:val="00532186"/>
    <w:rsid w:val="00533CE6"/>
    <w:rsid w:val="00537513"/>
    <w:rsid w:val="00540135"/>
    <w:rsid w:val="0054066A"/>
    <w:rsid w:val="00542DA3"/>
    <w:rsid w:val="00544C44"/>
    <w:rsid w:val="0054568D"/>
    <w:rsid w:val="0054648C"/>
    <w:rsid w:val="0054693E"/>
    <w:rsid w:val="00546954"/>
    <w:rsid w:val="00547EE4"/>
    <w:rsid w:val="00550447"/>
    <w:rsid w:val="00552594"/>
    <w:rsid w:val="00552991"/>
    <w:rsid w:val="00552DEF"/>
    <w:rsid w:val="00555184"/>
    <w:rsid w:val="00555FF7"/>
    <w:rsid w:val="0055705A"/>
    <w:rsid w:val="00557E1F"/>
    <w:rsid w:val="00560A8D"/>
    <w:rsid w:val="00561645"/>
    <w:rsid w:val="00570F61"/>
    <w:rsid w:val="0058008D"/>
    <w:rsid w:val="0058204D"/>
    <w:rsid w:val="00585F73"/>
    <w:rsid w:val="00586C2B"/>
    <w:rsid w:val="005872A7"/>
    <w:rsid w:val="005931A3"/>
    <w:rsid w:val="00593CDD"/>
    <w:rsid w:val="0059410C"/>
    <w:rsid w:val="005977CA"/>
    <w:rsid w:val="005A2989"/>
    <w:rsid w:val="005A4FEA"/>
    <w:rsid w:val="005B12E2"/>
    <w:rsid w:val="005B2BF1"/>
    <w:rsid w:val="005B5AED"/>
    <w:rsid w:val="005B661D"/>
    <w:rsid w:val="005B6C99"/>
    <w:rsid w:val="005B6FDC"/>
    <w:rsid w:val="005C00AD"/>
    <w:rsid w:val="005C0CFB"/>
    <w:rsid w:val="005C3457"/>
    <w:rsid w:val="005C41F2"/>
    <w:rsid w:val="005D01F7"/>
    <w:rsid w:val="005D07E7"/>
    <w:rsid w:val="005D1DD1"/>
    <w:rsid w:val="005D2BF8"/>
    <w:rsid w:val="005D420A"/>
    <w:rsid w:val="005D57FD"/>
    <w:rsid w:val="005D6CE9"/>
    <w:rsid w:val="005E0209"/>
    <w:rsid w:val="005E77DF"/>
    <w:rsid w:val="005F21CD"/>
    <w:rsid w:val="005F32BE"/>
    <w:rsid w:val="005F643A"/>
    <w:rsid w:val="006039C2"/>
    <w:rsid w:val="00606584"/>
    <w:rsid w:val="00606CEF"/>
    <w:rsid w:val="00606E11"/>
    <w:rsid w:val="00613559"/>
    <w:rsid w:val="0061741E"/>
    <w:rsid w:val="00617D32"/>
    <w:rsid w:val="0062026B"/>
    <w:rsid w:val="0063033C"/>
    <w:rsid w:val="00630A8E"/>
    <w:rsid w:val="00637DE0"/>
    <w:rsid w:val="00641087"/>
    <w:rsid w:val="00642D93"/>
    <w:rsid w:val="00651733"/>
    <w:rsid w:val="00652862"/>
    <w:rsid w:val="006528F2"/>
    <w:rsid w:val="00653B13"/>
    <w:rsid w:val="0065465C"/>
    <w:rsid w:val="00655921"/>
    <w:rsid w:val="0065648C"/>
    <w:rsid w:val="006607E4"/>
    <w:rsid w:val="00661345"/>
    <w:rsid w:val="00662BFC"/>
    <w:rsid w:val="00662F58"/>
    <w:rsid w:val="00663D07"/>
    <w:rsid w:val="00664E2E"/>
    <w:rsid w:val="00666314"/>
    <w:rsid w:val="00671E71"/>
    <w:rsid w:val="006752AC"/>
    <w:rsid w:val="006759A2"/>
    <w:rsid w:val="00684FAD"/>
    <w:rsid w:val="0068728E"/>
    <w:rsid w:val="006879D7"/>
    <w:rsid w:val="00692AB1"/>
    <w:rsid w:val="00695003"/>
    <w:rsid w:val="006A0765"/>
    <w:rsid w:val="006A07D0"/>
    <w:rsid w:val="006A2506"/>
    <w:rsid w:val="006A4BE2"/>
    <w:rsid w:val="006A7BB6"/>
    <w:rsid w:val="006A7F3A"/>
    <w:rsid w:val="006B0B4A"/>
    <w:rsid w:val="006B3143"/>
    <w:rsid w:val="006B378C"/>
    <w:rsid w:val="006B4D96"/>
    <w:rsid w:val="006B5458"/>
    <w:rsid w:val="006B5BA6"/>
    <w:rsid w:val="006B682B"/>
    <w:rsid w:val="006C1ECC"/>
    <w:rsid w:val="006C21F6"/>
    <w:rsid w:val="006C5A3C"/>
    <w:rsid w:val="006C6E5F"/>
    <w:rsid w:val="006D107E"/>
    <w:rsid w:val="006D26B5"/>
    <w:rsid w:val="006D3119"/>
    <w:rsid w:val="006D6A49"/>
    <w:rsid w:val="006E1CCF"/>
    <w:rsid w:val="006F09EE"/>
    <w:rsid w:val="006F4B2D"/>
    <w:rsid w:val="006F4C4A"/>
    <w:rsid w:val="006F5416"/>
    <w:rsid w:val="006F5778"/>
    <w:rsid w:val="00703775"/>
    <w:rsid w:val="00703923"/>
    <w:rsid w:val="00704EDA"/>
    <w:rsid w:val="00706033"/>
    <w:rsid w:val="00706766"/>
    <w:rsid w:val="00711439"/>
    <w:rsid w:val="00713483"/>
    <w:rsid w:val="00713E2B"/>
    <w:rsid w:val="00723A6A"/>
    <w:rsid w:val="00725E97"/>
    <w:rsid w:val="007329FC"/>
    <w:rsid w:val="0073332E"/>
    <w:rsid w:val="007343D5"/>
    <w:rsid w:val="0073560B"/>
    <w:rsid w:val="00735E2A"/>
    <w:rsid w:val="00736834"/>
    <w:rsid w:val="007403FC"/>
    <w:rsid w:val="007467D2"/>
    <w:rsid w:val="00747218"/>
    <w:rsid w:val="0074737A"/>
    <w:rsid w:val="00753D84"/>
    <w:rsid w:val="00753F5E"/>
    <w:rsid w:val="00755089"/>
    <w:rsid w:val="00764E34"/>
    <w:rsid w:val="0077126E"/>
    <w:rsid w:val="00771C5D"/>
    <w:rsid w:val="007815AA"/>
    <w:rsid w:val="00781A56"/>
    <w:rsid w:val="00792B0C"/>
    <w:rsid w:val="00794EC0"/>
    <w:rsid w:val="00795526"/>
    <w:rsid w:val="0079738F"/>
    <w:rsid w:val="007974F6"/>
    <w:rsid w:val="007A5473"/>
    <w:rsid w:val="007A5558"/>
    <w:rsid w:val="007B3897"/>
    <w:rsid w:val="007B3F3F"/>
    <w:rsid w:val="007C1A17"/>
    <w:rsid w:val="007C3178"/>
    <w:rsid w:val="007C4E8A"/>
    <w:rsid w:val="007C5566"/>
    <w:rsid w:val="007C5B4F"/>
    <w:rsid w:val="007D14FD"/>
    <w:rsid w:val="007D2B6F"/>
    <w:rsid w:val="007D34CA"/>
    <w:rsid w:val="007D369F"/>
    <w:rsid w:val="007E064F"/>
    <w:rsid w:val="007E074B"/>
    <w:rsid w:val="007E08EB"/>
    <w:rsid w:val="007E1571"/>
    <w:rsid w:val="007E17E0"/>
    <w:rsid w:val="007E19AB"/>
    <w:rsid w:val="007E378A"/>
    <w:rsid w:val="007E6FFA"/>
    <w:rsid w:val="007F0F3C"/>
    <w:rsid w:val="007F6106"/>
    <w:rsid w:val="008008E2"/>
    <w:rsid w:val="00800C64"/>
    <w:rsid w:val="00800E8E"/>
    <w:rsid w:val="00800EDD"/>
    <w:rsid w:val="00801474"/>
    <w:rsid w:val="00801DD4"/>
    <w:rsid w:val="00803033"/>
    <w:rsid w:val="008049EB"/>
    <w:rsid w:val="008051DA"/>
    <w:rsid w:val="0080652C"/>
    <w:rsid w:val="00811F6E"/>
    <w:rsid w:val="00812266"/>
    <w:rsid w:val="00812E41"/>
    <w:rsid w:val="00815F67"/>
    <w:rsid w:val="00816D68"/>
    <w:rsid w:val="0081732D"/>
    <w:rsid w:val="00820B32"/>
    <w:rsid w:val="008277F5"/>
    <w:rsid w:val="00830679"/>
    <w:rsid w:val="00832008"/>
    <w:rsid w:val="00835EBA"/>
    <w:rsid w:val="008405C9"/>
    <w:rsid w:val="00843E6E"/>
    <w:rsid w:val="008522BF"/>
    <w:rsid w:val="00856BD1"/>
    <w:rsid w:val="00857876"/>
    <w:rsid w:val="0086326C"/>
    <w:rsid w:val="00863486"/>
    <w:rsid w:val="008657E9"/>
    <w:rsid w:val="00867D29"/>
    <w:rsid w:val="008738BC"/>
    <w:rsid w:val="0087466F"/>
    <w:rsid w:val="0087683A"/>
    <w:rsid w:val="00881076"/>
    <w:rsid w:val="00881A33"/>
    <w:rsid w:val="00881A96"/>
    <w:rsid w:val="00890B7F"/>
    <w:rsid w:val="0089406A"/>
    <w:rsid w:val="008953AA"/>
    <w:rsid w:val="00895E73"/>
    <w:rsid w:val="008A01C1"/>
    <w:rsid w:val="008A0602"/>
    <w:rsid w:val="008A26D8"/>
    <w:rsid w:val="008A3F76"/>
    <w:rsid w:val="008A5519"/>
    <w:rsid w:val="008A5DEF"/>
    <w:rsid w:val="008B2C54"/>
    <w:rsid w:val="008B46BF"/>
    <w:rsid w:val="008B7F0C"/>
    <w:rsid w:val="008C224D"/>
    <w:rsid w:val="008C2993"/>
    <w:rsid w:val="008C3D95"/>
    <w:rsid w:val="008C5CC5"/>
    <w:rsid w:val="008C6829"/>
    <w:rsid w:val="008C76D0"/>
    <w:rsid w:val="008D2051"/>
    <w:rsid w:val="008D2395"/>
    <w:rsid w:val="008D5ECE"/>
    <w:rsid w:val="008D62AC"/>
    <w:rsid w:val="008E01DC"/>
    <w:rsid w:val="008E120A"/>
    <w:rsid w:val="008E14F3"/>
    <w:rsid w:val="008E3114"/>
    <w:rsid w:val="008E67CB"/>
    <w:rsid w:val="008E6EB7"/>
    <w:rsid w:val="008F0B64"/>
    <w:rsid w:val="008F237E"/>
    <w:rsid w:val="008F2545"/>
    <w:rsid w:val="008F4D96"/>
    <w:rsid w:val="00901332"/>
    <w:rsid w:val="00901C7C"/>
    <w:rsid w:val="009041FB"/>
    <w:rsid w:val="00904EA8"/>
    <w:rsid w:val="00907137"/>
    <w:rsid w:val="00907C34"/>
    <w:rsid w:val="0091155F"/>
    <w:rsid w:val="009140FC"/>
    <w:rsid w:val="009219E1"/>
    <w:rsid w:val="00921F73"/>
    <w:rsid w:val="00922150"/>
    <w:rsid w:val="00922847"/>
    <w:rsid w:val="0092316B"/>
    <w:rsid w:val="009334FF"/>
    <w:rsid w:val="00934699"/>
    <w:rsid w:val="00940B55"/>
    <w:rsid w:val="009422B4"/>
    <w:rsid w:val="009462A7"/>
    <w:rsid w:val="00951945"/>
    <w:rsid w:val="00951A18"/>
    <w:rsid w:val="0095290C"/>
    <w:rsid w:val="00954174"/>
    <w:rsid w:val="00954A47"/>
    <w:rsid w:val="0095724F"/>
    <w:rsid w:val="0096013C"/>
    <w:rsid w:val="00965886"/>
    <w:rsid w:val="00966034"/>
    <w:rsid w:val="009666A2"/>
    <w:rsid w:val="00966E79"/>
    <w:rsid w:val="00967C16"/>
    <w:rsid w:val="00970F7F"/>
    <w:rsid w:val="009713DB"/>
    <w:rsid w:val="00971813"/>
    <w:rsid w:val="00974F6C"/>
    <w:rsid w:val="00977C58"/>
    <w:rsid w:val="009865B3"/>
    <w:rsid w:val="00986900"/>
    <w:rsid w:val="00986C11"/>
    <w:rsid w:val="00992CCC"/>
    <w:rsid w:val="009945AC"/>
    <w:rsid w:val="00995C19"/>
    <w:rsid w:val="00996093"/>
    <w:rsid w:val="009979E5"/>
    <w:rsid w:val="009A3726"/>
    <w:rsid w:val="009A5364"/>
    <w:rsid w:val="009A6935"/>
    <w:rsid w:val="009A6BB0"/>
    <w:rsid w:val="009B7873"/>
    <w:rsid w:val="009C02CE"/>
    <w:rsid w:val="009C1BE9"/>
    <w:rsid w:val="009C1E04"/>
    <w:rsid w:val="009C5069"/>
    <w:rsid w:val="009D248A"/>
    <w:rsid w:val="009D50D9"/>
    <w:rsid w:val="009D5F2E"/>
    <w:rsid w:val="009E003E"/>
    <w:rsid w:val="009E0902"/>
    <w:rsid w:val="009E1B36"/>
    <w:rsid w:val="009E350D"/>
    <w:rsid w:val="009E42D4"/>
    <w:rsid w:val="009E53C6"/>
    <w:rsid w:val="009E5A94"/>
    <w:rsid w:val="009E5BD1"/>
    <w:rsid w:val="009F4D4E"/>
    <w:rsid w:val="009F5EEF"/>
    <w:rsid w:val="009F7792"/>
    <w:rsid w:val="009F7CAC"/>
    <w:rsid w:val="00A00917"/>
    <w:rsid w:val="00A016D0"/>
    <w:rsid w:val="00A061C5"/>
    <w:rsid w:val="00A1099D"/>
    <w:rsid w:val="00A13140"/>
    <w:rsid w:val="00A13D6F"/>
    <w:rsid w:val="00A144AF"/>
    <w:rsid w:val="00A17ECE"/>
    <w:rsid w:val="00A22DC4"/>
    <w:rsid w:val="00A2366E"/>
    <w:rsid w:val="00A26311"/>
    <w:rsid w:val="00A301E9"/>
    <w:rsid w:val="00A33945"/>
    <w:rsid w:val="00A3529F"/>
    <w:rsid w:val="00A40938"/>
    <w:rsid w:val="00A412BD"/>
    <w:rsid w:val="00A43AA1"/>
    <w:rsid w:val="00A44B22"/>
    <w:rsid w:val="00A62473"/>
    <w:rsid w:val="00A64EE7"/>
    <w:rsid w:val="00A6624E"/>
    <w:rsid w:val="00A66B2C"/>
    <w:rsid w:val="00A67668"/>
    <w:rsid w:val="00A70459"/>
    <w:rsid w:val="00A7049D"/>
    <w:rsid w:val="00A72ADE"/>
    <w:rsid w:val="00A72E50"/>
    <w:rsid w:val="00A74CB6"/>
    <w:rsid w:val="00A8310A"/>
    <w:rsid w:val="00A9005F"/>
    <w:rsid w:val="00A909F6"/>
    <w:rsid w:val="00A90E68"/>
    <w:rsid w:val="00A92156"/>
    <w:rsid w:val="00A96301"/>
    <w:rsid w:val="00A967E3"/>
    <w:rsid w:val="00AA3214"/>
    <w:rsid w:val="00AA47DE"/>
    <w:rsid w:val="00AA564A"/>
    <w:rsid w:val="00AA59FC"/>
    <w:rsid w:val="00AB4157"/>
    <w:rsid w:val="00AB42CA"/>
    <w:rsid w:val="00AB7124"/>
    <w:rsid w:val="00AB7C03"/>
    <w:rsid w:val="00AC3256"/>
    <w:rsid w:val="00AC5ABD"/>
    <w:rsid w:val="00AD0181"/>
    <w:rsid w:val="00AD34B6"/>
    <w:rsid w:val="00AD6BA3"/>
    <w:rsid w:val="00AD76CD"/>
    <w:rsid w:val="00AD7CD1"/>
    <w:rsid w:val="00AD7DDB"/>
    <w:rsid w:val="00AD7E70"/>
    <w:rsid w:val="00AE04FB"/>
    <w:rsid w:val="00AE3708"/>
    <w:rsid w:val="00AE409B"/>
    <w:rsid w:val="00AE762C"/>
    <w:rsid w:val="00AF391B"/>
    <w:rsid w:val="00AF4768"/>
    <w:rsid w:val="00B0188F"/>
    <w:rsid w:val="00B10A80"/>
    <w:rsid w:val="00B140A4"/>
    <w:rsid w:val="00B150C1"/>
    <w:rsid w:val="00B17780"/>
    <w:rsid w:val="00B277B4"/>
    <w:rsid w:val="00B3122E"/>
    <w:rsid w:val="00B32E3B"/>
    <w:rsid w:val="00B33BBA"/>
    <w:rsid w:val="00B3697E"/>
    <w:rsid w:val="00B41330"/>
    <w:rsid w:val="00B42C8A"/>
    <w:rsid w:val="00B44D5C"/>
    <w:rsid w:val="00B44DB2"/>
    <w:rsid w:val="00B4585C"/>
    <w:rsid w:val="00B512FE"/>
    <w:rsid w:val="00B51EA4"/>
    <w:rsid w:val="00B53E66"/>
    <w:rsid w:val="00B546A5"/>
    <w:rsid w:val="00B561A0"/>
    <w:rsid w:val="00B57CFC"/>
    <w:rsid w:val="00B63368"/>
    <w:rsid w:val="00B6338B"/>
    <w:rsid w:val="00B635C0"/>
    <w:rsid w:val="00B63AB0"/>
    <w:rsid w:val="00B648A3"/>
    <w:rsid w:val="00B6668E"/>
    <w:rsid w:val="00B71A5D"/>
    <w:rsid w:val="00B72A14"/>
    <w:rsid w:val="00B749AA"/>
    <w:rsid w:val="00B75F03"/>
    <w:rsid w:val="00B777A5"/>
    <w:rsid w:val="00B8004A"/>
    <w:rsid w:val="00B853B3"/>
    <w:rsid w:val="00B8546F"/>
    <w:rsid w:val="00B85C0B"/>
    <w:rsid w:val="00B96F6B"/>
    <w:rsid w:val="00B97516"/>
    <w:rsid w:val="00BA159D"/>
    <w:rsid w:val="00BA30F0"/>
    <w:rsid w:val="00BA3EB4"/>
    <w:rsid w:val="00BA3FC1"/>
    <w:rsid w:val="00BA5777"/>
    <w:rsid w:val="00BA5974"/>
    <w:rsid w:val="00BB0948"/>
    <w:rsid w:val="00BB30C2"/>
    <w:rsid w:val="00BB373F"/>
    <w:rsid w:val="00BB37DB"/>
    <w:rsid w:val="00BB7276"/>
    <w:rsid w:val="00BC1877"/>
    <w:rsid w:val="00BC7C45"/>
    <w:rsid w:val="00BD0BFA"/>
    <w:rsid w:val="00BD37BE"/>
    <w:rsid w:val="00BD6544"/>
    <w:rsid w:val="00BE17E0"/>
    <w:rsid w:val="00BE1E16"/>
    <w:rsid w:val="00BE408A"/>
    <w:rsid w:val="00BE4453"/>
    <w:rsid w:val="00BE4E80"/>
    <w:rsid w:val="00BE5D02"/>
    <w:rsid w:val="00BF18B7"/>
    <w:rsid w:val="00BF3A2E"/>
    <w:rsid w:val="00BF410A"/>
    <w:rsid w:val="00BF5BA5"/>
    <w:rsid w:val="00BF72CD"/>
    <w:rsid w:val="00C002DE"/>
    <w:rsid w:val="00C01CF5"/>
    <w:rsid w:val="00C025A1"/>
    <w:rsid w:val="00C22C06"/>
    <w:rsid w:val="00C32B0A"/>
    <w:rsid w:val="00C3368F"/>
    <w:rsid w:val="00C34AB9"/>
    <w:rsid w:val="00C36C64"/>
    <w:rsid w:val="00C37D92"/>
    <w:rsid w:val="00C43CB2"/>
    <w:rsid w:val="00C44D01"/>
    <w:rsid w:val="00C4533B"/>
    <w:rsid w:val="00C46610"/>
    <w:rsid w:val="00C46DD9"/>
    <w:rsid w:val="00C47304"/>
    <w:rsid w:val="00C51814"/>
    <w:rsid w:val="00C528BA"/>
    <w:rsid w:val="00C53864"/>
    <w:rsid w:val="00C54C3A"/>
    <w:rsid w:val="00C55ECB"/>
    <w:rsid w:val="00C61081"/>
    <w:rsid w:val="00C612B1"/>
    <w:rsid w:val="00C62CD7"/>
    <w:rsid w:val="00C63C10"/>
    <w:rsid w:val="00C65428"/>
    <w:rsid w:val="00C654E1"/>
    <w:rsid w:val="00C71951"/>
    <w:rsid w:val="00C72E84"/>
    <w:rsid w:val="00C735B6"/>
    <w:rsid w:val="00C748D2"/>
    <w:rsid w:val="00C76A30"/>
    <w:rsid w:val="00C80009"/>
    <w:rsid w:val="00C82A10"/>
    <w:rsid w:val="00C83227"/>
    <w:rsid w:val="00C85007"/>
    <w:rsid w:val="00C91DF7"/>
    <w:rsid w:val="00C94D2D"/>
    <w:rsid w:val="00C95AB7"/>
    <w:rsid w:val="00C96E91"/>
    <w:rsid w:val="00CA04A9"/>
    <w:rsid w:val="00CA1478"/>
    <w:rsid w:val="00CA34AE"/>
    <w:rsid w:val="00CA6E48"/>
    <w:rsid w:val="00CA7F47"/>
    <w:rsid w:val="00CB2533"/>
    <w:rsid w:val="00CB2ABA"/>
    <w:rsid w:val="00CB377C"/>
    <w:rsid w:val="00CB494B"/>
    <w:rsid w:val="00CB6BE4"/>
    <w:rsid w:val="00CC3E8C"/>
    <w:rsid w:val="00CC56CD"/>
    <w:rsid w:val="00CC5896"/>
    <w:rsid w:val="00CC7939"/>
    <w:rsid w:val="00CD025E"/>
    <w:rsid w:val="00CD0C9D"/>
    <w:rsid w:val="00CD24BC"/>
    <w:rsid w:val="00CD3653"/>
    <w:rsid w:val="00CD5244"/>
    <w:rsid w:val="00CE2280"/>
    <w:rsid w:val="00CE3204"/>
    <w:rsid w:val="00CE5747"/>
    <w:rsid w:val="00CE5CCA"/>
    <w:rsid w:val="00CF32B5"/>
    <w:rsid w:val="00CF4244"/>
    <w:rsid w:val="00D0140D"/>
    <w:rsid w:val="00D10363"/>
    <w:rsid w:val="00D13ED7"/>
    <w:rsid w:val="00D15D00"/>
    <w:rsid w:val="00D15EFD"/>
    <w:rsid w:val="00D161FB"/>
    <w:rsid w:val="00D17EEA"/>
    <w:rsid w:val="00D20B04"/>
    <w:rsid w:val="00D219B4"/>
    <w:rsid w:val="00D24699"/>
    <w:rsid w:val="00D27882"/>
    <w:rsid w:val="00D343B7"/>
    <w:rsid w:val="00D34451"/>
    <w:rsid w:val="00D36EA9"/>
    <w:rsid w:val="00D40240"/>
    <w:rsid w:val="00D40549"/>
    <w:rsid w:val="00D41811"/>
    <w:rsid w:val="00D4479A"/>
    <w:rsid w:val="00D447C9"/>
    <w:rsid w:val="00D466E7"/>
    <w:rsid w:val="00D50A53"/>
    <w:rsid w:val="00D534E2"/>
    <w:rsid w:val="00D551C1"/>
    <w:rsid w:val="00D5535B"/>
    <w:rsid w:val="00D5613E"/>
    <w:rsid w:val="00D56456"/>
    <w:rsid w:val="00D577D5"/>
    <w:rsid w:val="00D579DB"/>
    <w:rsid w:val="00D601B6"/>
    <w:rsid w:val="00D61486"/>
    <w:rsid w:val="00D642E1"/>
    <w:rsid w:val="00D72E01"/>
    <w:rsid w:val="00D73465"/>
    <w:rsid w:val="00D826A8"/>
    <w:rsid w:val="00D82C1E"/>
    <w:rsid w:val="00D84412"/>
    <w:rsid w:val="00D908C4"/>
    <w:rsid w:val="00D918D7"/>
    <w:rsid w:val="00D95218"/>
    <w:rsid w:val="00D96F78"/>
    <w:rsid w:val="00DA1A48"/>
    <w:rsid w:val="00DA1B2F"/>
    <w:rsid w:val="00DA20C1"/>
    <w:rsid w:val="00DA38E5"/>
    <w:rsid w:val="00DB328F"/>
    <w:rsid w:val="00DB34D8"/>
    <w:rsid w:val="00DB4A2F"/>
    <w:rsid w:val="00DB68EA"/>
    <w:rsid w:val="00DB69F2"/>
    <w:rsid w:val="00DB7404"/>
    <w:rsid w:val="00DC0DBC"/>
    <w:rsid w:val="00DC42AC"/>
    <w:rsid w:val="00DC553D"/>
    <w:rsid w:val="00DD435A"/>
    <w:rsid w:val="00DD5698"/>
    <w:rsid w:val="00DD5A2A"/>
    <w:rsid w:val="00DE10AE"/>
    <w:rsid w:val="00DE3217"/>
    <w:rsid w:val="00DE4E79"/>
    <w:rsid w:val="00DF7B9E"/>
    <w:rsid w:val="00DF7C58"/>
    <w:rsid w:val="00E01379"/>
    <w:rsid w:val="00E03F85"/>
    <w:rsid w:val="00E0517D"/>
    <w:rsid w:val="00E14571"/>
    <w:rsid w:val="00E14ED6"/>
    <w:rsid w:val="00E16A65"/>
    <w:rsid w:val="00E16A71"/>
    <w:rsid w:val="00E179B5"/>
    <w:rsid w:val="00E26AE9"/>
    <w:rsid w:val="00E26C42"/>
    <w:rsid w:val="00E3092F"/>
    <w:rsid w:val="00E3252B"/>
    <w:rsid w:val="00E33892"/>
    <w:rsid w:val="00E34927"/>
    <w:rsid w:val="00E40EAD"/>
    <w:rsid w:val="00E43FD2"/>
    <w:rsid w:val="00E4460B"/>
    <w:rsid w:val="00E446B9"/>
    <w:rsid w:val="00E46C60"/>
    <w:rsid w:val="00E47F88"/>
    <w:rsid w:val="00E534A9"/>
    <w:rsid w:val="00E54983"/>
    <w:rsid w:val="00E549DC"/>
    <w:rsid w:val="00E5679F"/>
    <w:rsid w:val="00E5728F"/>
    <w:rsid w:val="00E601A2"/>
    <w:rsid w:val="00E624F7"/>
    <w:rsid w:val="00E66071"/>
    <w:rsid w:val="00E66D0B"/>
    <w:rsid w:val="00E6754D"/>
    <w:rsid w:val="00E71971"/>
    <w:rsid w:val="00E71FC7"/>
    <w:rsid w:val="00E734AD"/>
    <w:rsid w:val="00E74941"/>
    <w:rsid w:val="00E75CFB"/>
    <w:rsid w:val="00E7646A"/>
    <w:rsid w:val="00E82CA0"/>
    <w:rsid w:val="00E870C7"/>
    <w:rsid w:val="00E87A69"/>
    <w:rsid w:val="00E87D05"/>
    <w:rsid w:val="00E920CA"/>
    <w:rsid w:val="00E9268C"/>
    <w:rsid w:val="00E951C1"/>
    <w:rsid w:val="00E97CB0"/>
    <w:rsid w:val="00EA05B8"/>
    <w:rsid w:val="00EA4A25"/>
    <w:rsid w:val="00EA5FFC"/>
    <w:rsid w:val="00EB1AD5"/>
    <w:rsid w:val="00EB2A96"/>
    <w:rsid w:val="00EB5A9A"/>
    <w:rsid w:val="00EC2BC4"/>
    <w:rsid w:val="00EC3EB6"/>
    <w:rsid w:val="00EC4A82"/>
    <w:rsid w:val="00ED2091"/>
    <w:rsid w:val="00ED3EDB"/>
    <w:rsid w:val="00EE12BC"/>
    <w:rsid w:val="00F05694"/>
    <w:rsid w:val="00F11E8D"/>
    <w:rsid w:val="00F1597C"/>
    <w:rsid w:val="00F17945"/>
    <w:rsid w:val="00F2329B"/>
    <w:rsid w:val="00F276C8"/>
    <w:rsid w:val="00F35266"/>
    <w:rsid w:val="00F35CEB"/>
    <w:rsid w:val="00F400C7"/>
    <w:rsid w:val="00F41E47"/>
    <w:rsid w:val="00F429A4"/>
    <w:rsid w:val="00F42ADD"/>
    <w:rsid w:val="00F4492F"/>
    <w:rsid w:val="00F44CA1"/>
    <w:rsid w:val="00F46D8D"/>
    <w:rsid w:val="00F47BF5"/>
    <w:rsid w:val="00F50E6C"/>
    <w:rsid w:val="00F50F09"/>
    <w:rsid w:val="00F50F64"/>
    <w:rsid w:val="00F51058"/>
    <w:rsid w:val="00F51D41"/>
    <w:rsid w:val="00F539C9"/>
    <w:rsid w:val="00F54927"/>
    <w:rsid w:val="00F56357"/>
    <w:rsid w:val="00F5643A"/>
    <w:rsid w:val="00F565EC"/>
    <w:rsid w:val="00F61BD1"/>
    <w:rsid w:val="00F6375F"/>
    <w:rsid w:val="00F647F4"/>
    <w:rsid w:val="00F64941"/>
    <w:rsid w:val="00F6732F"/>
    <w:rsid w:val="00F752D3"/>
    <w:rsid w:val="00F76315"/>
    <w:rsid w:val="00F779A8"/>
    <w:rsid w:val="00F91121"/>
    <w:rsid w:val="00F95700"/>
    <w:rsid w:val="00FA0EE6"/>
    <w:rsid w:val="00FA3599"/>
    <w:rsid w:val="00FA6CAA"/>
    <w:rsid w:val="00FB5CC4"/>
    <w:rsid w:val="00FC0EF0"/>
    <w:rsid w:val="00FC237D"/>
    <w:rsid w:val="00FC2AA8"/>
    <w:rsid w:val="00FC2C9D"/>
    <w:rsid w:val="00FC6271"/>
    <w:rsid w:val="00FD1BAF"/>
    <w:rsid w:val="00FD31DA"/>
    <w:rsid w:val="00FD4BC7"/>
    <w:rsid w:val="00FD60F8"/>
    <w:rsid w:val="00FD7C80"/>
    <w:rsid w:val="00FD7E9A"/>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34"/>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 w:type="paragraph" w:customStyle="1" w:styleId="msolistparagraph0">
    <w:name w:val="msolistparagraph0"/>
    <w:basedOn w:val="Normal"/>
    <w:rsid w:val="00451A58"/>
    <w:pPr>
      <w:spacing w:before="100" w:beforeAutospacing="1" w:after="100" w:afterAutospacing="1"/>
    </w:pPr>
    <w:rPr>
      <w:rFonts w:eastAsia="Times New Roman"/>
    </w:rPr>
  </w:style>
  <w:style w:type="character" w:customStyle="1" w:styleId="btn-tip-r">
    <w:name w:val="btn-tip-r"/>
    <w:basedOn w:val="DefaultParagraphFont"/>
    <w:rsid w:val="002801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7069846">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35547478">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4232931">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04414069">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89283275">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4670340">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6611833">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491415233">
      <w:bodyDiv w:val="1"/>
      <w:marLeft w:val="0"/>
      <w:marRight w:val="0"/>
      <w:marTop w:val="0"/>
      <w:marBottom w:val="0"/>
      <w:divBdr>
        <w:top w:val="none" w:sz="0" w:space="0" w:color="auto"/>
        <w:left w:val="none" w:sz="0" w:space="0" w:color="auto"/>
        <w:bottom w:val="none" w:sz="0" w:space="0" w:color="auto"/>
        <w:right w:val="none" w:sz="0" w:space="0" w:color="auto"/>
      </w:divBdr>
    </w:div>
    <w:div w:id="492994003">
      <w:bodyDiv w:val="1"/>
      <w:marLeft w:val="0"/>
      <w:marRight w:val="0"/>
      <w:marTop w:val="0"/>
      <w:marBottom w:val="0"/>
      <w:divBdr>
        <w:top w:val="none" w:sz="0" w:space="0" w:color="auto"/>
        <w:left w:val="none" w:sz="0" w:space="0" w:color="auto"/>
        <w:bottom w:val="none" w:sz="0" w:space="0" w:color="auto"/>
        <w:right w:val="none" w:sz="0" w:space="0" w:color="auto"/>
      </w:divBdr>
    </w:div>
    <w:div w:id="498277568">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33274168">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18536727">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799033933">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3351562">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16342023">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8790427">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47644687">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83760389">
      <w:bodyDiv w:val="1"/>
      <w:marLeft w:val="0"/>
      <w:marRight w:val="0"/>
      <w:marTop w:val="0"/>
      <w:marBottom w:val="0"/>
      <w:divBdr>
        <w:top w:val="none" w:sz="0" w:space="0" w:color="auto"/>
        <w:left w:val="none" w:sz="0" w:space="0" w:color="auto"/>
        <w:bottom w:val="none" w:sz="0" w:space="0" w:color="auto"/>
        <w:right w:val="none" w:sz="0" w:space="0" w:color="auto"/>
      </w:divBdr>
    </w:div>
    <w:div w:id="887296904">
      <w:bodyDiv w:val="1"/>
      <w:marLeft w:val="0"/>
      <w:marRight w:val="0"/>
      <w:marTop w:val="0"/>
      <w:marBottom w:val="0"/>
      <w:divBdr>
        <w:top w:val="none" w:sz="0" w:space="0" w:color="auto"/>
        <w:left w:val="none" w:sz="0" w:space="0" w:color="auto"/>
        <w:bottom w:val="none" w:sz="0" w:space="0" w:color="auto"/>
        <w:right w:val="none" w:sz="0" w:space="0" w:color="auto"/>
      </w:divBdr>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1647151">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271196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68710357">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4182192">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472049">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5984246">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2474993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3773372">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4545489">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25201108">
      <w:bodyDiv w:val="1"/>
      <w:marLeft w:val="0"/>
      <w:marRight w:val="0"/>
      <w:marTop w:val="0"/>
      <w:marBottom w:val="0"/>
      <w:divBdr>
        <w:top w:val="none" w:sz="0" w:space="0" w:color="auto"/>
        <w:left w:val="none" w:sz="0" w:space="0" w:color="auto"/>
        <w:bottom w:val="none" w:sz="0" w:space="0" w:color="auto"/>
        <w:right w:val="none" w:sz="0" w:space="0" w:color="auto"/>
      </w:divBdr>
    </w:div>
    <w:div w:id="1129594282">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48783956">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199782940">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15656823">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58903668">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2125105">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522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2413024">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2404026">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16072422">
      <w:bodyDiv w:val="1"/>
      <w:marLeft w:val="0"/>
      <w:marRight w:val="0"/>
      <w:marTop w:val="0"/>
      <w:marBottom w:val="0"/>
      <w:divBdr>
        <w:top w:val="none" w:sz="0" w:space="0" w:color="auto"/>
        <w:left w:val="none" w:sz="0" w:space="0" w:color="auto"/>
        <w:bottom w:val="none" w:sz="0" w:space="0" w:color="auto"/>
        <w:right w:val="none" w:sz="0" w:space="0" w:color="auto"/>
      </w:divBdr>
    </w:div>
    <w:div w:id="1523201472">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579828149">
      <w:bodyDiv w:val="1"/>
      <w:marLeft w:val="0"/>
      <w:marRight w:val="0"/>
      <w:marTop w:val="0"/>
      <w:marBottom w:val="0"/>
      <w:divBdr>
        <w:top w:val="none" w:sz="0" w:space="0" w:color="auto"/>
        <w:left w:val="none" w:sz="0" w:space="0" w:color="auto"/>
        <w:bottom w:val="none" w:sz="0" w:space="0" w:color="auto"/>
        <w:right w:val="none" w:sz="0" w:space="0" w:color="auto"/>
      </w:divBdr>
    </w:div>
    <w:div w:id="1587955680">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7227237">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0332296">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064847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79850695">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1318335">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257296">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05410397">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2740559">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817181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4382682">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098866767">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2585273">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5633426">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95CAC1-66D5-43C1-B093-5B5894791B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13552</TotalTime>
  <Pages>6</Pages>
  <Words>1836</Words>
  <Characters>10466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1445</cp:revision>
  <cp:lastPrinted>2025-07-21T01:29:00Z</cp:lastPrinted>
  <dcterms:created xsi:type="dcterms:W3CDTF">2025-01-14T02:58:00Z</dcterms:created>
  <dcterms:modified xsi:type="dcterms:W3CDTF">2025-09-20T00:38:00Z</dcterms:modified>
</cp:coreProperties>
</file>