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999" w:rsidRPr="00E35999" w:rsidRDefault="00E35999" w:rsidP="00E35999">
      <w:pPr>
        <w:shd w:val="clear" w:color="auto" w:fill="FFFFFF"/>
        <w:spacing w:line="234" w:lineRule="atLeast"/>
        <w:ind w:firstLine="0"/>
        <w:jc w:val="center"/>
        <w:rPr>
          <w:rFonts w:ascii="Arial" w:eastAsia="Times New Roman" w:hAnsi="Arial" w:cs="Arial"/>
          <w:color w:val="000000"/>
          <w:sz w:val="18"/>
          <w:szCs w:val="18"/>
        </w:rPr>
      </w:pPr>
      <w:bookmarkStart w:id="0" w:name="chuong_pl_1"/>
      <w:r w:rsidRPr="00E35999">
        <w:rPr>
          <w:rFonts w:ascii="Arial" w:eastAsia="Times New Roman" w:hAnsi="Arial" w:cs="Arial"/>
          <w:b/>
          <w:bCs/>
          <w:color w:val="000000"/>
          <w:sz w:val="18"/>
          <w:szCs w:val="18"/>
        </w:rPr>
        <w:t>Mẫu đề cương Báo cáo công tác thi hành pháp luật về xử lý vi phạm hành chính</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35999" w:rsidRPr="00E35999" w:rsidTr="00E35999">
        <w:trPr>
          <w:tblCellSpacing w:w="0" w:type="dxa"/>
        </w:trPr>
        <w:tc>
          <w:tcPr>
            <w:tcW w:w="3348" w:type="dxa"/>
            <w:shd w:val="clear" w:color="auto" w:fill="FFFFFF"/>
            <w:tcMar>
              <w:top w:w="0" w:type="dxa"/>
              <w:left w:w="108" w:type="dxa"/>
              <w:bottom w:w="0" w:type="dxa"/>
              <w:right w:w="108" w:type="dxa"/>
            </w:tcMar>
            <w:hideMark/>
          </w:tcPr>
          <w:p w:rsidR="00E35999" w:rsidRPr="00E35999" w:rsidRDefault="00E35999" w:rsidP="00E35999">
            <w:pPr>
              <w:spacing w:before="120" w:after="120" w:line="234" w:lineRule="atLeast"/>
              <w:ind w:firstLine="0"/>
              <w:jc w:val="center"/>
              <w:rPr>
                <w:rFonts w:ascii="Arial" w:eastAsia="Times New Roman" w:hAnsi="Arial" w:cs="Arial"/>
                <w:color w:val="000000"/>
                <w:sz w:val="18"/>
                <w:szCs w:val="18"/>
              </w:rPr>
            </w:pPr>
            <w:r w:rsidRPr="00E35999">
              <w:rPr>
                <w:rFonts w:ascii="Arial" w:eastAsia="Times New Roman" w:hAnsi="Arial" w:cs="Arial"/>
                <w:b/>
                <w:bCs/>
                <w:color w:val="000000"/>
                <w:sz w:val="18"/>
                <w:szCs w:val="18"/>
              </w:rPr>
              <w:t>CƠ QUAN</w:t>
            </w:r>
            <w:r w:rsidRPr="00E35999">
              <w:rPr>
                <w:rFonts w:ascii="Arial" w:eastAsia="Times New Roman" w:hAnsi="Arial" w:cs="Arial"/>
                <w:b/>
                <w:bCs/>
                <w:color w:val="000000"/>
                <w:sz w:val="18"/>
                <w:szCs w:val="18"/>
                <w:vertAlign w:val="superscript"/>
              </w:rPr>
              <w:t>1</w:t>
            </w:r>
            <w:r w:rsidRPr="00E35999">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E35999" w:rsidRPr="00E35999" w:rsidRDefault="00E35999" w:rsidP="00E35999">
            <w:pPr>
              <w:spacing w:before="120" w:after="120" w:line="234" w:lineRule="atLeast"/>
              <w:ind w:firstLine="0"/>
              <w:jc w:val="center"/>
              <w:rPr>
                <w:rFonts w:ascii="Arial" w:eastAsia="Times New Roman" w:hAnsi="Arial" w:cs="Arial"/>
                <w:color w:val="000000"/>
                <w:sz w:val="18"/>
                <w:szCs w:val="18"/>
              </w:rPr>
            </w:pPr>
            <w:r w:rsidRPr="00E35999">
              <w:rPr>
                <w:rFonts w:ascii="Arial" w:eastAsia="Times New Roman" w:hAnsi="Arial" w:cs="Arial"/>
                <w:b/>
                <w:bCs/>
                <w:color w:val="000000"/>
                <w:sz w:val="18"/>
                <w:szCs w:val="18"/>
              </w:rPr>
              <w:t>CỘNG HÒA XÃ HỘI CHỦ NGHĨA VIỆT NAM</w:t>
            </w:r>
            <w:r w:rsidRPr="00E35999">
              <w:rPr>
                <w:rFonts w:ascii="Arial" w:eastAsia="Times New Roman" w:hAnsi="Arial" w:cs="Arial"/>
                <w:b/>
                <w:bCs/>
                <w:color w:val="000000"/>
                <w:sz w:val="18"/>
                <w:szCs w:val="18"/>
              </w:rPr>
              <w:br/>
              <w:t>Độc lập - Tự do - Hạnh phúc</w:t>
            </w:r>
            <w:r w:rsidRPr="00E35999">
              <w:rPr>
                <w:rFonts w:ascii="Arial" w:eastAsia="Times New Roman" w:hAnsi="Arial" w:cs="Arial"/>
                <w:b/>
                <w:bCs/>
                <w:color w:val="000000"/>
                <w:sz w:val="18"/>
                <w:szCs w:val="18"/>
              </w:rPr>
              <w:br/>
              <w:t>---------------</w:t>
            </w:r>
          </w:p>
        </w:tc>
      </w:tr>
      <w:tr w:rsidR="00E35999" w:rsidRPr="00E35999" w:rsidTr="00E35999">
        <w:trPr>
          <w:tblCellSpacing w:w="0" w:type="dxa"/>
        </w:trPr>
        <w:tc>
          <w:tcPr>
            <w:tcW w:w="3348" w:type="dxa"/>
            <w:shd w:val="clear" w:color="auto" w:fill="FFFFFF"/>
            <w:tcMar>
              <w:top w:w="0" w:type="dxa"/>
              <w:left w:w="108" w:type="dxa"/>
              <w:bottom w:w="0" w:type="dxa"/>
              <w:right w:w="108" w:type="dxa"/>
            </w:tcMar>
            <w:hideMark/>
          </w:tcPr>
          <w:p w:rsidR="00E35999" w:rsidRPr="00E35999" w:rsidRDefault="00E35999" w:rsidP="00E35999">
            <w:pPr>
              <w:spacing w:before="120" w:after="120" w:line="234" w:lineRule="atLeast"/>
              <w:ind w:firstLine="0"/>
              <w:jc w:val="center"/>
              <w:rPr>
                <w:rFonts w:ascii="Arial" w:eastAsia="Times New Roman" w:hAnsi="Arial" w:cs="Arial"/>
                <w:color w:val="000000"/>
                <w:sz w:val="18"/>
                <w:szCs w:val="18"/>
              </w:rPr>
            </w:pPr>
            <w:r w:rsidRPr="00E35999">
              <w:rPr>
                <w:rFonts w:ascii="Arial" w:eastAsia="Times New Roman" w:hAnsi="Arial" w:cs="Arial"/>
                <w:color w:val="000000"/>
                <w:sz w:val="18"/>
                <w:szCs w:val="18"/>
              </w:rPr>
              <w:t>Số: ..../BC-....</w:t>
            </w:r>
            <w:r w:rsidRPr="00E35999">
              <w:rPr>
                <w:rFonts w:ascii="Arial" w:eastAsia="Times New Roman" w:hAnsi="Arial" w:cs="Arial"/>
                <w:color w:val="000000"/>
                <w:sz w:val="18"/>
                <w:szCs w:val="18"/>
                <w:vertAlign w:val="superscript"/>
              </w:rPr>
              <w:t>2</w:t>
            </w:r>
          </w:p>
        </w:tc>
        <w:tc>
          <w:tcPr>
            <w:tcW w:w="5508" w:type="dxa"/>
            <w:shd w:val="clear" w:color="auto" w:fill="FFFFFF"/>
            <w:tcMar>
              <w:top w:w="0" w:type="dxa"/>
              <w:left w:w="108" w:type="dxa"/>
              <w:bottom w:w="0" w:type="dxa"/>
              <w:right w:w="108" w:type="dxa"/>
            </w:tcMar>
            <w:hideMark/>
          </w:tcPr>
          <w:p w:rsidR="00E35999" w:rsidRPr="00E35999" w:rsidRDefault="00E35999" w:rsidP="00E35999">
            <w:pPr>
              <w:spacing w:before="120" w:after="120" w:line="234" w:lineRule="atLeast"/>
              <w:ind w:firstLine="0"/>
              <w:jc w:val="right"/>
              <w:rPr>
                <w:rFonts w:ascii="Arial" w:eastAsia="Times New Roman" w:hAnsi="Arial" w:cs="Arial"/>
                <w:color w:val="000000"/>
                <w:sz w:val="18"/>
                <w:szCs w:val="18"/>
              </w:rPr>
            </w:pPr>
            <w:r w:rsidRPr="00E35999">
              <w:rPr>
                <w:rFonts w:ascii="Arial" w:eastAsia="Times New Roman" w:hAnsi="Arial" w:cs="Arial"/>
                <w:i/>
                <w:iCs/>
                <w:color w:val="000000"/>
                <w:sz w:val="18"/>
                <w:szCs w:val="18"/>
              </w:rPr>
              <w:t>…………</w:t>
            </w:r>
            <w:r w:rsidRPr="00E35999">
              <w:rPr>
                <w:rFonts w:ascii="Arial" w:eastAsia="Times New Roman" w:hAnsi="Arial" w:cs="Arial"/>
                <w:i/>
                <w:iCs/>
                <w:color w:val="000000"/>
                <w:sz w:val="18"/>
                <w:szCs w:val="18"/>
                <w:vertAlign w:val="superscript"/>
              </w:rPr>
              <w:t>3</w:t>
            </w:r>
            <w:r w:rsidRPr="00E35999">
              <w:rPr>
                <w:rFonts w:ascii="Arial" w:eastAsia="Times New Roman" w:hAnsi="Arial" w:cs="Arial"/>
                <w:i/>
                <w:iCs/>
                <w:color w:val="000000"/>
                <w:sz w:val="18"/>
                <w:szCs w:val="18"/>
              </w:rPr>
              <w:t>, ngày .... tháng.... năm ....</w:t>
            </w:r>
          </w:p>
        </w:tc>
      </w:tr>
    </w:tbl>
    <w:p w:rsidR="00E35999" w:rsidRPr="00E35999" w:rsidRDefault="00E35999" w:rsidP="00E35999">
      <w:pPr>
        <w:shd w:val="clear" w:color="auto" w:fill="FFFFFF"/>
        <w:spacing w:before="120" w:after="120" w:line="234" w:lineRule="atLeast"/>
        <w:ind w:firstLine="0"/>
        <w:jc w:val="center"/>
        <w:rPr>
          <w:rFonts w:ascii="Arial" w:eastAsia="Times New Roman" w:hAnsi="Arial" w:cs="Arial"/>
          <w:color w:val="000000"/>
          <w:sz w:val="18"/>
          <w:szCs w:val="18"/>
        </w:rPr>
      </w:pPr>
      <w:r w:rsidRPr="00E35999">
        <w:rPr>
          <w:rFonts w:ascii="Arial" w:eastAsia="Times New Roman" w:hAnsi="Arial" w:cs="Arial"/>
          <w:b/>
          <w:bCs/>
          <w:color w:val="000000"/>
          <w:sz w:val="18"/>
          <w:szCs w:val="18"/>
        </w:rPr>
        <w:t>BÁO CÁO</w:t>
      </w:r>
    </w:p>
    <w:p w:rsidR="00E35999" w:rsidRPr="00E35999" w:rsidRDefault="00E35999" w:rsidP="00E35999">
      <w:pPr>
        <w:shd w:val="clear" w:color="auto" w:fill="FFFFFF"/>
        <w:spacing w:before="120" w:after="120" w:line="234" w:lineRule="atLeast"/>
        <w:ind w:firstLine="0"/>
        <w:jc w:val="center"/>
        <w:rPr>
          <w:rFonts w:ascii="Arial" w:eastAsia="Times New Roman" w:hAnsi="Arial" w:cs="Arial"/>
          <w:color w:val="000000"/>
          <w:sz w:val="18"/>
          <w:szCs w:val="18"/>
        </w:rPr>
      </w:pPr>
      <w:r w:rsidRPr="00E35999">
        <w:rPr>
          <w:rFonts w:ascii="Arial" w:eastAsia="Times New Roman" w:hAnsi="Arial" w:cs="Arial"/>
          <w:b/>
          <w:bCs/>
          <w:color w:val="000000"/>
          <w:sz w:val="18"/>
          <w:szCs w:val="18"/>
        </w:rPr>
        <w:t>Công tác thi hành pháp luật về xử lý vi phạm hành chính năm……….</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rPr>
        <w:t>Thực hiện công tác thi hành pháp luật về xử lý vi phạm hành chính năm ………, ……….</w:t>
      </w:r>
      <w:r w:rsidRPr="00E35999">
        <w:rPr>
          <w:rFonts w:ascii="Arial" w:eastAsia="Times New Roman" w:hAnsi="Arial" w:cs="Arial"/>
          <w:color w:val="000000"/>
          <w:sz w:val="18"/>
          <w:szCs w:val="18"/>
          <w:vertAlign w:val="superscript"/>
        </w:rPr>
        <w:t>4</w:t>
      </w:r>
      <w:r w:rsidRPr="00E35999">
        <w:rPr>
          <w:rFonts w:ascii="Arial" w:eastAsia="Times New Roman" w:hAnsi="Arial" w:cs="Arial"/>
          <w:color w:val="000000"/>
          <w:sz w:val="18"/>
          <w:szCs w:val="18"/>
        </w:rPr>
        <w:t> báo cáo công tác thi hành pháp luật về xử lý vi phạm hành chính như sau:</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color w:val="000000"/>
          <w:sz w:val="18"/>
          <w:szCs w:val="18"/>
        </w:rPr>
        <w:t>I. CÔNG TÁC TRIỂN KHAI THI HÀNH PHÁP LUẬT VỀ XỬ LÝ VI PHẠM HÀNH CHÍNH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color w:val="000000"/>
          <w:sz w:val="18"/>
          <w:szCs w:val="18"/>
        </w:rPr>
        <w:t>1. Công tác chỉ đạo triển khai thi hành Luật Xử lý vi phạm hành chính và các văn bản quy định chi tiết thi hành luật</w:t>
      </w:r>
    </w:p>
    <w:p w:rsidR="00E35999" w:rsidRPr="00E35999" w:rsidRDefault="00E35999" w:rsidP="00E35999">
      <w:pPr>
        <w:shd w:val="clear" w:color="auto" w:fill="FFFFFF"/>
        <w:spacing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rPr>
        <w:t>Nêu rõ tên, hình thức văn bản chỉ đạo triển khai thực hiện </w:t>
      </w:r>
      <w:bookmarkStart w:id="1" w:name="tvpllink_ceimhmlxeb_1"/>
      <w:r w:rsidRPr="00E35999">
        <w:rPr>
          <w:rFonts w:ascii="Arial" w:eastAsia="Times New Roman" w:hAnsi="Arial" w:cs="Arial"/>
          <w:color w:val="000000"/>
          <w:sz w:val="18"/>
          <w:szCs w:val="18"/>
        </w:rPr>
        <w:fldChar w:fldCharType="begin"/>
      </w:r>
      <w:r w:rsidRPr="00E35999">
        <w:rPr>
          <w:rFonts w:ascii="Arial" w:eastAsia="Times New Roman" w:hAnsi="Arial" w:cs="Arial"/>
          <w:color w:val="000000"/>
          <w:sz w:val="18"/>
          <w:szCs w:val="18"/>
        </w:rPr>
        <w:instrText xml:space="preserve"> HYPERLINK "https://thuvienphapluat.vn/van-ban/Vi-pham-hanh-chinh/Luat-xu-ly-vi-pham-hanh-chinh-2012-142766.aspx" \t "_blank" </w:instrText>
      </w:r>
      <w:r w:rsidRPr="00E35999">
        <w:rPr>
          <w:rFonts w:ascii="Arial" w:eastAsia="Times New Roman" w:hAnsi="Arial" w:cs="Arial"/>
          <w:color w:val="000000"/>
          <w:sz w:val="18"/>
          <w:szCs w:val="18"/>
        </w:rPr>
        <w:fldChar w:fldCharType="separate"/>
      </w:r>
      <w:r w:rsidRPr="00E35999">
        <w:rPr>
          <w:rFonts w:ascii="Arial" w:eastAsia="Times New Roman" w:hAnsi="Arial" w:cs="Arial"/>
          <w:color w:val="0E70C3"/>
          <w:sz w:val="18"/>
          <w:szCs w:val="18"/>
        </w:rPr>
        <w:t>Luật Xử lý vi phạm hành chính</w:t>
      </w:r>
      <w:r w:rsidRPr="00E35999">
        <w:rPr>
          <w:rFonts w:ascii="Arial" w:eastAsia="Times New Roman" w:hAnsi="Arial" w:cs="Arial"/>
          <w:color w:val="000000"/>
          <w:sz w:val="18"/>
          <w:szCs w:val="18"/>
        </w:rPr>
        <w:fldChar w:fldCharType="end"/>
      </w:r>
      <w:bookmarkEnd w:id="1"/>
      <w:r w:rsidRPr="00E35999">
        <w:rPr>
          <w:rFonts w:ascii="Arial" w:eastAsia="Times New Roman" w:hAnsi="Arial" w:cs="Arial"/>
          <w:color w:val="000000"/>
          <w:sz w:val="18"/>
          <w:szCs w:val="18"/>
        </w:rPr>
        <w:t> và các văn bản quy định chi tiết thi hành: Công văn, Quyết định, Kế hoạch, Quy chế....</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color w:val="000000"/>
          <w:sz w:val="18"/>
          <w:szCs w:val="18"/>
        </w:rPr>
        <w:t>2. Công tác xây dựng, hoàn thiện pháp luật về xử lý vi phạm hành chính</w:t>
      </w:r>
    </w:p>
    <w:p w:rsidR="00E35999" w:rsidRPr="00E35999" w:rsidRDefault="00E35999" w:rsidP="00E35999">
      <w:pPr>
        <w:shd w:val="clear" w:color="auto" w:fill="FFFFFF"/>
        <w:spacing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rPr>
        <w:t>- Nêu rõ tên, hình thức văn bản quy phạm pháp luật trình cơ quan có thẩm quyền ban hành hoặc ban hành theo thẩm quyền nhằm triển khai thực hiện </w:t>
      </w:r>
      <w:bookmarkStart w:id="2" w:name="tvpllink_ceimhmlxeb"/>
      <w:r w:rsidRPr="00E35999">
        <w:rPr>
          <w:rFonts w:ascii="Arial" w:eastAsia="Times New Roman" w:hAnsi="Arial" w:cs="Arial"/>
          <w:color w:val="000000"/>
          <w:sz w:val="18"/>
          <w:szCs w:val="18"/>
        </w:rPr>
        <w:fldChar w:fldCharType="begin"/>
      </w:r>
      <w:r w:rsidRPr="00E35999">
        <w:rPr>
          <w:rFonts w:ascii="Arial" w:eastAsia="Times New Roman" w:hAnsi="Arial" w:cs="Arial"/>
          <w:color w:val="000000"/>
          <w:sz w:val="18"/>
          <w:szCs w:val="18"/>
        </w:rPr>
        <w:instrText xml:space="preserve"> HYPERLINK "https://thuvienphapluat.vn/van-ban/Vi-pham-hanh-chinh/Luat-xu-ly-vi-pham-hanh-chinh-2012-142766.aspx" \t "_blank" </w:instrText>
      </w:r>
      <w:r w:rsidRPr="00E35999">
        <w:rPr>
          <w:rFonts w:ascii="Arial" w:eastAsia="Times New Roman" w:hAnsi="Arial" w:cs="Arial"/>
          <w:color w:val="000000"/>
          <w:sz w:val="18"/>
          <w:szCs w:val="18"/>
        </w:rPr>
        <w:fldChar w:fldCharType="separate"/>
      </w:r>
      <w:r w:rsidRPr="00E35999">
        <w:rPr>
          <w:rFonts w:ascii="Arial" w:eastAsia="Times New Roman" w:hAnsi="Arial" w:cs="Arial"/>
          <w:color w:val="0E70C3"/>
          <w:sz w:val="18"/>
          <w:szCs w:val="18"/>
        </w:rPr>
        <w:t>Luật Xử lý vi phạm hành chính</w:t>
      </w:r>
      <w:r w:rsidRPr="00E35999">
        <w:rPr>
          <w:rFonts w:ascii="Arial" w:eastAsia="Times New Roman" w:hAnsi="Arial" w:cs="Arial"/>
          <w:color w:val="000000"/>
          <w:sz w:val="18"/>
          <w:szCs w:val="18"/>
        </w:rPr>
        <w:fldChar w:fldCharType="end"/>
      </w:r>
      <w:bookmarkEnd w:id="2"/>
      <w:r w:rsidRPr="00E35999">
        <w:rPr>
          <w:rFonts w:ascii="Arial" w:eastAsia="Times New Roman" w:hAnsi="Arial" w:cs="Arial"/>
          <w:color w:val="000000"/>
          <w:sz w:val="18"/>
          <w:szCs w:val="18"/>
        </w:rPr>
        <w:t> và các văn bản quy định chi tiết thi hành.</w:t>
      </w:r>
    </w:p>
    <w:p w:rsidR="00E35999" w:rsidRPr="00E35999" w:rsidRDefault="00E35999" w:rsidP="00E35999">
      <w:pPr>
        <w:shd w:val="clear" w:color="auto" w:fill="FFFFFF"/>
        <w:spacing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rPr>
        <w:t>- Việc xây dựng, trình phê duyệt và triển khai các Chương trình, Kế hoạch, Đề án triển khai thi hành </w:t>
      </w:r>
      <w:bookmarkStart w:id="3" w:name="tvpllink_ceimhmlxeb_2"/>
      <w:r w:rsidRPr="00E35999">
        <w:rPr>
          <w:rFonts w:ascii="Arial" w:eastAsia="Times New Roman" w:hAnsi="Arial" w:cs="Arial"/>
          <w:color w:val="000000"/>
          <w:sz w:val="18"/>
          <w:szCs w:val="18"/>
        </w:rPr>
        <w:fldChar w:fldCharType="begin"/>
      </w:r>
      <w:r w:rsidRPr="00E35999">
        <w:rPr>
          <w:rFonts w:ascii="Arial" w:eastAsia="Times New Roman" w:hAnsi="Arial" w:cs="Arial"/>
          <w:color w:val="000000"/>
          <w:sz w:val="18"/>
          <w:szCs w:val="18"/>
        </w:rPr>
        <w:instrText xml:space="preserve"> HYPERLINK "https://thuvienphapluat.vn/van-ban/Vi-pham-hanh-chinh/Luat-xu-ly-vi-pham-hanh-chinh-2012-142766.aspx" \t "_blank" </w:instrText>
      </w:r>
      <w:r w:rsidRPr="00E35999">
        <w:rPr>
          <w:rFonts w:ascii="Arial" w:eastAsia="Times New Roman" w:hAnsi="Arial" w:cs="Arial"/>
          <w:color w:val="000000"/>
          <w:sz w:val="18"/>
          <w:szCs w:val="18"/>
        </w:rPr>
        <w:fldChar w:fldCharType="separate"/>
      </w:r>
      <w:r w:rsidRPr="00E35999">
        <w:rPr>
          <w:rFonts w:ascii="Arial" w:eastAsia="Times New Roman" w:hAnsi="Arial" w:cs="Arial"/>
          <w:color w:val="0E70C3"/>
          <w:sz w:val="18"/>
          <w:szCs w:val="18"/>
        </w:rPr>
        <w:t>Luật Xử lý vi phạm hành chính</w:t>
      </w:r>
      <w:r w:rsidRPr="00E35999">
        <w:rPr>
          <w:rFonts w:ascii="Arial" w:eastAsia="Times New Roman" w:hAnsi="Arial" w:cs="Arial"/>
          <w:color w:val="000000"/>
          <w:sz w:val="18"/>
          <w:szCs w:val="18"/>
        </w:rPr>
        <w:fldChar w:fldCharType="end"/>
      </w:r>
      <w:bookmarkEnd w:id="3"/>
      <w:r w:rsidRPr="00E35999">
        <w:rPr>
          <w:rFonts w:ascii="Arial" w:eastAsia="Times New Roman" w:hAnsi="Arial" w:cs="Arial"/>
          <w:color w:val="000000"/>
          <w:sz w:val="18"/>
          <w:szCs w:val="18"/>
        </w:rPr>
        <w:t>.</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color w:val="000000"/>
          <w:sz w:val="18"/>
          <w:szCs w:val="18"/>
        </w:rPr>
        <w:t>3. Công tác phổ biến pháp luật, hướng dẫn, tập huấn, bồi dưỡng nghiệp vụ về pháp luật xử lý vi phạm hành chính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rPr>
        <w:t>- Nêu rõ các hình thức phổ biến, bồi dưỡng, tập huấn: Hội thảo, hội nghị, đưa tin, bài trên các phương tiện thông tin đại chúng, biên soạn tài liệu, sách, sổ tay về xử lý vi phạm hành chính....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rPr>
        <w:t>- Nêu rõ số lượng tin, bài; tài liệu; sách; sổ tay; cuộc hội thảo, hội nghị; số người/ lượt người được phổ biến, bồi dưỡng, tập huấn, hướng dẫn nghiệp vụ....</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color w:val="000000"/>
          <w:sz w:val="18"/>
          <w:szCs w:val="18"/>
        </w:rPr>
        <w:t>4. Công tác kiểm tra, thanh tra việc thi hành pháp luật về xử lý vi phạm hành chính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rPr>
        <w:t>- Công tác kiểm tra, kiểm tra liên ngành việc thi hành pháp luật về xử lý vi phạm hành chính: Nêu rõ việc có hay không ban hành kế hoạch kiểm tra; tổng số cuộc kiểm tra, kiểm tra liên ngành đã được tiến hành; kết quả của việc kiểm tra, kiểm tra liên ngành.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rPr>
        <w:t>- Công tác thanh tra, phối hợp thanh tra việc thi hành pháp luật về xử lý vi phạm hành chính: Nêu rõ việc có hay không ban hành kế hoạch thanh tra; tổng số cuộc thanh tra đã được tiến hành; kết quả của việc thanh tra, phối hợp thanh tra.</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color w:val="000000"/>
          <w:sz w:val="18"/>
          <w:szCs w:val="18"/>
        </w:rPr>
        <w:t>II. TÌNH HÌNH VI PHẠM HÀNH CHÍNH VÀ ÁP DỤNG PHÁP LUẬT VỀ XỬ LÝ VI PHẠM HÀNH CHÍNH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color w:val="000000"/>
          <w:sz w:val="18"/>
          <w:szCs w:val="18"/>
        </w:rPr>
        <w:t>1. Tình hình vi phạm hành chính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rPr>
        <w:t>Nhận xét, đánh giá chung, khái quát tình hình vi phạm hành chính; tình hình áp dụng pháp luật về xử lý vi phạm hành chính trên tất cả các lĩnh vực quản lý nhà nước theo ngành, lĩnh vực/địa bàn quản lý.</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color w:val="000000"/>
          <w:sz w:val="18"/>
          <w:szCs w:val="18"/>
        </w:rPr>
        <w:t>2. Tình hình xử phạt vi phạm hành chính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rPr>
        <w:t>- Nhận xét chung về tình hình xử phạt vi phạm hành chính.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rPr>
        <w:t>- Đánh giá, báo cáo thông tin, số liệu cụ thể về việc áp dụng các hình thức xử phạt và biện pháp khắc phục hậu quả; biện pháp ngăn chặn và bảo đảm xử phạt vi phạm hành chính; các loại hành vi vi phạm phổ biến trong từng lĩnh vực quản lý nhà nước.</w:t>
      </w:r>
    </w:p>
    <w:p w:rsidR="00E35999" w:rsidRPr="00E35999" w:rsidRDefault="00E35999" w:rsidP="00E35999">
      <w:pPr>
        <w:shd w:val="clear" w:color="auto" w:fill="FFFFFF"/>
        <w:spacing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rPr>
        <w:lastRenderedPageBreak/>
        <w:t>- So sánh sự tăng hay giảm so với cùng kỳ năm trước đối với các số liệu sau: Tổng số vụ vi phạm; tổng số đối tượng bị xử phạt; tình hình thi hành quyết định xử phạt vi phạm hành chính; tổng số tiền phạt thu được;.... </w:t>
      </w:r>
      <w:r w:rsidRPr="00E35999">
        <w:rPr>
          <w:rFonts w:ascii="Arial" w:eastAsia="Times New Roman" w:hAnsi="Arial" w:cs="Arial"/>
          <w:i/>
          <w:iCs/>
          <w:color w:val="000000"/>
          <w:sz w:val="18"/>
          <w:szCs w:val="18"/>
        </w:rPr>
        <w:t>(Tất cả các số liệu quy định tại khoản 2 Điều 35 Nghị định số </w:t>
      </w:r>
      <w:hyperlink r:id="rId4" w:tgtFrame="_blank" w:tooltip="Nghị định 118/2021/NĐ-CP" w:history="1">
        <w:r w:rsidRPr="00E35999">
          <w:rPr>
            <w:rFonts w:ascii="Arial" w:eastAsia="Times New Roman" w:hAnsi="Arial" w:cs="Arial"/>
            <w:i/>
            <w:iCs/>
            <w:color w:val="0E70C3"/>
            <w:sz w:val="18"/>
            <w:szCs w:val="18"/>
          </w:rPr>
          <w:t>118/2021/NĐ-CP</w:t>
        </w:r>
      </w:hyperlink>
      <w:r w:rsidRPr="00E35999">
        <w:rPr>
          <w:rFonts w:ascii="Arial" w:eastAsia="Times New Roman" w:hAnsi="Arial" w:cs="Arial"/>
          <w:i/>
          <w:iCs/>
          <w:color w:val="000000"/>
          <w:sz w:val="18"/>
          <w:szCs w:val="18"/>
        </w:rPr>
        <w:t> ngày 23/12/2021 của Chính phủ quy định chi tiết một số điều và biện pháp thi hành Luật Xử lý vi phạm hành chính)</w:t>
      </w:r>
      <w:r w:rsidRPr="00E35999">
        <w:rPr>
          <w:rFonts w:ascii="Arial" w:eastAsia="Times New Roman" w:hAnsi="Arial" w:cs="Arial"/>
          <w:color w:val="000000"/>
          <w:sz w:val="18"/>
          <w:szCs w:val="18"/>
        </w:rPr>
        <w:t>.</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color w:val="000000"/>
          <w:sz w:val="18"/>
          <w:szCs w:val="18"/>
        </w:rPr>
        <w:t>3. Tình hình áp dụng các biện pháp xử lý hành chính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rPr>
        <w:t>- Nhận xét chung về tình hình áp dụng các biện pháp xử lý hành chính.</w:t>
      </w:r>
    </w:p>
    <w:p w:rsidR="00E35999" w:rsidRPr="00E35999" w:rsidRDefault="00E35999" w:rsidP="00E35999">
      <w:pPr>
        <w:shd w:val="clear" w:color="auto" w:fill="FFFFFF"/>
        <w:spacing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rPr>
        <w:t>- So sánh sự tăng hay giảm so với cùng kỳ năm trước đối với các số liệu sau: Tổng số đối tượng bị lập hồ sơ đề nghị áp dụng biện pháp xử lý hành chính; số đối tượng bị áp dụng các biện pháp xử lý hành chính; số lượng người chưa thành niên được áp dụng biện pháp thay thế quản lý tại gia đình và giáo dục dựa vào cộng đồng; tình hình tổ chức thi hành các quyết định áp dụng các biện pháp xử lý hành chính;.... </w:t>
      </w:r>
      <w:r w:rsidRPr="00E35999">
        <w:rPr>
          <w:rFonts w:ascii="Arial" w:eastAsia="Times New Roman" w:hAnsi="Arial" w:cs="Arial"/>
          <w:i/>
          <w:iCs/>
          <w:color w:val="000000"/>
          <w:sz w:val="18"/>
          <w:szCs w:val="18"/>
        </w:rPr>
        <w:t>(Tất cả các số liệu quy định tại khoản 3 Điều 35 Nghị định số </w:t>
      </w:r>
      <w:hyperlink r:id="rId5" w:tgtFrame="_blank" w:tooltip="Nghị định 118/2021/NĐ-CP" w:history="1">
        <w:r w:rsidRPr="00E35999">
          <w:rPr>
            <w:rFonts w:ascii="Arial" w:eastAsia="Times New Roman" w:hAnsi="Arial" w:cs="Arial"/>
            <w:i/>
            <w:iCs/>
            <w:color w:val="0E70C3"/>
            <w:sz w:val="18"/>
            <w:szCs w:val="18"/>
          </w:rPr>
          <w:t>118/2021/NĐ-CP</w:t>
        </w:r>
      </w:hyperlink>
      <w:r w:rsidRPr="00E35999">
        <w:rPr>
          <w:rFonts w:ascii="Arial" w:eastAsia="Times New Roman" w:hAnsi="Arial" w:cs="Arial"/>
          <w:i/>
          <w:iCs/>
          <w:color w:val="000000"/>
          <w:sz w:val="18"/>
          <w:szCs w:val="18"/>
        </w:rPr>
        <w:t> ngày 23/12/2021 của Chính phủ quy định chi tiết một số điều và biện pháp thi hành Luật Xử lý vi phạm hành chính).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color w:val="000000"/>
          <w:sz w:val="18"/>
          <w:szCs w:val="18"/>
        </w:rPr>
        <w:t>III. NHỮNG KHÓ KHĂN, VƯỚNG MẮC CHỦ YẾU TRONG THỰC TIỄN THI HÀNH PHÁP LUẬT VỀ XỬ LÝ VI PHẠM HÀNH CHÍNH, NGUYÊN NHÂN VÀ ĐỀ XUẤT, KIẾN NGHỊ</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i/>
          <w:iCs/>
          <w:color w:val="000000"/>
          <w:sz w:val="18"/>
          <w:szCs w:val="18"/>
        </w:rPr>
        <w:t>(Từ thực tiễn công tác xử lý vi phạm hành chính trong kỳ báo cáo, cơ quan lập báo cáo đưa ra những nhận xét, đánh giá về những khó khăn, vướng mắc, bất cập trong công tác xử lý vi phạm hành chính).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color w:val="000000"/>
          <w:sz w:val="18"/>
          <w:szCs w:val="18"/>
        </w:rPr>
        <w:t>1. Khó khăn, vướng mắc xuất phát từ các quy định pháp luật</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i/>
          <w:iCs/>
          <w:color w:val="000000"/>
          <w:sz w:val="18"/>
          <w:szCs w:val="18"/>
        </w:rPr>
        <w:t>1.1. Khó khăn, vướng mắc xuất phát từ các quy định của Luật Xử lý vi phạm hành chính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i/>
          <w:iCs/>
          <w:color w:val="000000"/>
          <w:sz w:val="18"/>
          <w:szCs w:val="18"/>
        </w:rPr>
        <w:t>1.2. Khó khăn, vướng mắc xuất phát từ các quy định của các văn bản quy định chi tiết thi hành Luật Xử lý vi phạm hành chính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color w:val="000000"/>
          <w:sz w:val="18"/>
          <w:szCs w:val="18"/>
        </w:rPr>
        <w:t>2. Khó khăn, vướng mắc trong việc tổ chức thực hiện Luật Xử lý vi phạm hành chính và các văn bản quy định chi tiết thi hành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i/>
          <w:iCs/>
          <w:color w:val="000000"/>
          <w:sz w:val="18"/>
          <w:szCs w:val="18"/>
        </w:rPr>
        <w:t>2.1. Về các điều kiện bảo đảm thi hành Luật</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i/>
          <w:iCs/>
          <w:color w:val="000000"/>
          <w:sz w:val="18"/>
          <w:szCs w:val="18"/>
        </w:rPr>
        <w:t>a) Kinh phí; cơ sở vật chất, kỹ thuật</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i/>
          <w:iCs/>
          <w:color w:val="000000"/>
          <w:sz w:val="18"/>
          <w:szCs w:val="18"/>
        </w:rPr>
        <w:t>b) Tổ chức bộ máy, nhân sự</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i/>
          <w:iCs/>
          <w:color w:val="000000"/>
          <w:sz w:val="18"/>
          <w:szCs w:val="18"/>
        </w:rPr>
        <w:t>2.2. Công tác tuyên truyền, phổ biến, giáo dục pháp luật, bồi dưỡng, tập huấn nghiệp vụ</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i/>
          <w:iCs/>
          <w:color w:val="000000"/>
          <w:sz w:val="18"/>
          <w:szCs w:val="18"/>
        </w:rPr>
        <w:t>2.3. Việc phối hợp giữa các ngành, cơ quan chức năng trong xử lý vi phạm hành chính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i/>
          <w:iCs/>
          <w:color w:val="000000"/>
          <w:sz w:val="18"/>
          <w:szCs w:val="18"/>
        </w:rPr>
        <w:t>2.4. Về việc báo cáo, thống kê</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i/>
          <w:iCs/>
          <w:color w:val="000000"/>
          <w:sz w:val="18"/>
          <w:szCs w:val="18"/>
        </w:rPr>
        <w:t>2.5. Về công tác kiểm tra, thanh tra</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i/>
          <w:iCs/>
          <w:color w:val="000000"/>
          <w:sz w:val="18"/>
          <w:szCs w:val="18"/>
        </w:rPr>
        <w:t>2.6. Những khó khăn, vướng mắc khác</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color w:val="000000"/>
          <w:sz w:val="18"/>
          <w:szCs w:val="18"/>
        </w:rPr>
        <w:t>3. Nguyên nhân của những khó khăn, vướng mắc</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i/>
          <w:iCs/>
          <w:color w:val="000000"/>
          <w:sz w:val="18"/>
          <w:szCs w:val="18"/>
        </w:rPr>
        <w:t>3.1. Nguyên nhân chủ quan</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i/>
          <w:iCs/>
          <w:color w:val="000000"/>
          <w:sz w:val="18"/>
          <w:szCs w:val="18"/>
        </w:rPr>
        <w:t>3.2. Nguyên nhân khách quan</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color w:val="000000"/>
          <w:sz w:val="18"/>
          <w:szCs w:val="18"/>
        </w:rPr>
        <w:t>4. Đề xuất, kiến nghị</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i/>
          <w:iCs/>
          <w:color w:val="000000"/>
          <w:sz w:val="18"/>
          <w:szCs w:val="18"/>
        </w:rPr>
        <w:t>(Xuất phát từ những khó khăn, vướng mắc, bất cập trong công tác xử lý vi phạm hành chính, cơ quan lập báo cáo đưa ra những kiến nghị, đề xuất về chủ trương, giải pháp nhằm nâng cao hiệu lực, hiệu quả của công tác xử lý vi phạm hành chính, góp phần giảm thiểu và ngăn ngừa các vi phạm hành chính).</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rPr>
        <w:t>Trên đây là báo cáo công tác thi hành pháp luật về xử lý vi phạm hành chính năm ……., xin gửi …………….</w:t>
      </w:r>
      <w:r w:rsidRPr="00E35999">
        <w:rPr>
          <w:rFonts w:ascii="Arial" w:eastAsia="Times New Roman" w:hAnsi="Arial" w:cs="Arial"/>
          <w:color w:val="000000"/>
          <w:sz w:val="18"/>
          <w:szCs w:val="18"/>
          <w:vertAlign w:val="superscript"/>
        </w:rPr>
        <w:t>5</w:t>
      </w:r>
      <w:r w:rsidRPr="00E35999">
        <w:rPr>
          <w:rFonts w:ascii="Arial" w:eastAsia="Times New Roman" w:hAnsi="Arial" w:cs="Arial"/>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35999" w:rsidRPr="00E35999" w:rsidTr="00E35999">
        <w:trPr>
          <w:tblCellSpacing w:w="0" w:type="dxa"/>
        </w:trPr>
        <w:tc>
          <w:tcPr>
            <w:tcW w:w="4428" w:type="dxa"/>
            <w:shd w:val="clear" w:color="auto" w:fill="FFFFFF"/>
            <w:tcMar>
              <w:top w:w="0" w:type="dxa"/>
              <w:left w:w="108" w:type="dxa"/>
              <w:bottom w:w="0" w:type="dxa"/>
              <w:right w:w="108" w:type="dxa"/>
            </w:tcMar>
            <w:hideMark/>
          </w:tcPr>
          <w:p w:rsidR="00E35999" w:rsidRPr="00E35999" w:rsidRDefault="00E35999" w:rsidP="00E35999">
            <w:pPr>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b/>
                <w:bCs/>
                <w:i/>
                <w:iCs/>
                <w:color w:val="000000"/>
                <w:sz w:val="18"/>
                <w:szCs w:val="18"/>
              </w:rPr>
              <w:br/>
              <w:t>Nơi nhận:</w:t>
            </w:r>
            <w:r w:rsidRPr="00E35999">
              <w:rPr>
                <w:rFonts w:ascii="Arial" w:eastAsia="Times New Roman" w:hAnsi="Arial" w:cs="Arial"/>
                <w:b/>
                <w:bCs/>
                <w:i/>
                <w:iCs/>
                <w:color w:val="000000"/>
                <w:sz w:val="18"/>
                <w:szCs w:val="18"/>
              </w:rPr>
              <w:br/>
            </w:r>
            <w:r w:rsidRPr="00E35999">
              <w:rPr>
                <w:rFonts w:ascii="Arial" w:eastAsia="Times New Roman" w:hAnsi="Arial" w:cs="Arial"/>
                <w:color w:val="000000"/>
                <w:sz w:val="18"/>
                <w:szCs w:val="18"/>
              </w:rPr>
              <w:t>- ………</w:t>
            </w:r>
            <w:r w:rsidRPr="00E35999">
              <w:rPr>
                <w:rFonts w:ascii="Arial" w:eastAsia="Times New Roman" w:hAnsi="Arial" w:cs="Arial"/>
                <w:color w:val="000000"/>
                <w:sz w:val="18"/>
                <w:szCs w:val="18"/>
                <w:vertAlign w:val="superscript"/>
              </w:rPr>
              <w:t>6</w:t>
            </w:r>
            <w:r w:rsidRPr="00E35999">
              <w:rPr>
                <w:rFonts w:ascii="Arial" w:eastAsia="Times New Roman" w:hAnsi="Arial" w:cs="Arial"/>
                <w:color w:val="000000"/>
                <w:sz w:val="18"/>
                <w:szCs w:val="18"/>
              </w:rPr>
              <w:t>;</w:t>
            </w:r>
            <w:r w:rsidRPr="00E35999">
              <w:rPr>
                <w:rFonts w:ascii="Arial" w:eastAsia="Times New Roman" w:hAnsi="Arial" w:cs="Arial"/>
                <w:color w:val="000000"/>
                <w:sz w:val="18"/>
                <w:szCs w:val="18"/>
              </w:rPr>
              <w:br/>
              <w:t>- Lưu: VT, ……</w:t>
            </w:r>
          </w:p>
        </w:tc>
        <w:tc>
          <w:tcPr>
            <w:tcW w:w="4428" w:type="dxa"/>
            <w:shd w:val="clear" w:color="auto" w:fill="FFFFFF"/>
            <w:tcMar>
              <w:top w:w="0" w:type="dxa"/>
              <w:left w:w="108" w:type="dxa"/>
              <w:bottom w:w="0" w:type="dxa"/>
              <w:right w:w="108" w:type="dxa"/>
            </w:tcMar>
            <w:hideMark/>
          </w:tcPr>
          <w:p w:rsidR="00E35999" w:rsidRPr="00E35999" w:rsidRDefault="00E35999" w:rsidP="00E35999">
            <w:pPr>
              <w:spacing w:before="120" w:after="240" w:line="234" w:lineRule="atLeast"/>
              <w:ind w:firstLine="0"/>
              <w:jc w:val="center"/>
              <w:rPr>
                <w:rFonts w:ascii="Arial" w:eastAsia="Times New Roman" w:hAnsi="Arial" w:cs="Arial"/>
                <w:color w:val="000000"/>
                <w:sz w:val="18"/>
                <w:szCs w:val="18"/>
              </w:rPr>
            </w:pPr>
            <w:r w:rsidRPr="00E35999">
              <w:rPr>
                <w:rFonts w:ascii="Arial" w:eastAsia="Times New Roman" w:hAnsi="Arial" w:cs="Arial"/>
                <w:b/>
                <w:bCs/>
                <w:color w:val="000000"/>
                <w:sz w:val="18"/>
                <w:szCs w:val="18"/>
              </w:rPr>
              <w:t>……………….………….</w:t>
            </w:r>
            <w:r w:rsidRPr="00E35999">
              <w:rPr>
                <w:rFonts w:ascii="Arial" w:eastAsia="Times New Roman" w:hAnsi="Arial" w:cs="Arial"/>
                <w:b/>
                <w:bCs/>
                <w:color w:val="000000"/>
                <w:sz w:val="18"/>
                <w:szCs w:val="18"/>
                <w:vertAlign w:val="superscript"/>
              </w:rPr>
              <w:t>7</w:t>
            </w:r>
          </w:p>
        </w:tc>
      </w:tr>
    </w:tbl>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rPr>
        <w:lastRenderedPageBreak/>
        <w:t>_________________________</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vertAlign w:val="superscript"/>
        </w:rPr>
        <w:t>1</w:t>
      </w:r>
      <w:r w:rsidRPr="00E35999">
        <w:rPr>
          <w:rFonts w:ascii="Arial" w:eastAsia="Times New Roman" w:hAnsi="Arial" w:cs="Arial"/>
          <w:color w:val="000000"/>
          <w:sz w:val="18"/>
          <w:szCs w:val="18"/>
        </w:rPr>
        <w:t> Tên của cơ quan lập báo cáo.</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vertAlign w:val="superscript"/>
        </w:rPr>
        <w:t>2</w:t>
      </w:r>
      <w:r w:rsidRPr="00E35999">
        <w:rPr>
          <w:rFonts w:ascii="Arial" w:eastAsia="Times New Roman" w:hAnsi="Arial" w:cs="Arial"/>
          <w:color w:val="000000"/>
          <w:sz w:val="18"/>
          <w:szCs w:val="18"/>
        </w:rPr>
        <w:t> Chữ viết tắt tên của cơ quan lập báo cáo.</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vertAlign w:val="superscript"/>
        </w:rPr>
        <w:t>3</w:t>
      </w:r>
      <w:r w:rsidRPr="00E35999">
        <w:rPr>
          <w:rFonts w:ascii="Arial" w:eastAsia="Times New Roman" w:hAnsi="Arial" w:cs="Arial"/>
          <w:color w:val="000000"/>
          <w:sz w:val="18"/>
          <w:szCs w:val="18"/>
        </w:rPr>
        <w:t> Địa danh ghi theo hướng dẫn về thể thức của Chính phủ.</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vertAlign w:val="superscript"/>
        </w:rPr>
        <w:t>4</w:t>
      </w:r>
      <w:r w:rsidRPr="00E35999">
        <w:rPr>
          <w:rFonts w:ascii="Arial" w:eastAsia="Times New Roman" w:hAnsi="Arial" w:cs="Arial"/>
          <w:color w:val="000000"/>
          <w:sz w:val="18"/>
          <w:szCs w:val="18"/>
        </w:rPr>
        <w:t> Tên của cơ quan lập báo cáo.</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vertAlign w:val="superscript"/>
        </w:rPr>
        <w:t>5</w:t>
      </w:r>
      <w:r w:rsidRPr="00E35999">
        <w:rPr>
          <w:rFonts w:ascii="Arial" w:eastAsia="Times New Roman" w:hAnsi="Arial" w:cs="Arial"/>
          <w:color w:val="000000"/>
          <w:sz w:val="18"/>
          <w:szCs w:val="18"/>
        </w:rPr>
        <w:t> Tên của cơ quan nhận báo cáo</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vertAlign w:val="superscript"/>
        </w:rPr>
        <w:t>6</w:t>
      </w:r>
      <w:r w:rsidRPr="00E35999">
        <w:rPr>
          <w:rFonts w:ascii="Arial" w:eastAsia="Times New Roman" w:hAnsi="Arial" w:cs="Arial"/>
          <w:color w:val="000000"/>
          <w:sz w:val="18"/>
          <w:szCs w:val="18"/>
        </w:rPr>
        <w:t> Tên của cơ quan nhận báo cáo.</w:t>
      </w:r>
    </w:p>
    <w:p w:rsidR="00E35999" w:rsidRPr="00E35999" w:rsidRDefault="00E35999" w:rsidP="00E35999">
      <w:pPr>
        <w:shd w:val="clear" w:color="auto" w:fill="FFFFFF"/>
        <w:spacing w:before="120" w:after="120" w:line="234" w:lineRule="atLeast"/>
        <w:ind w:firstLine="0"/>
        <w:jc w:val="left"/>
        <w:rPr>
          <w:rFonts w:ascii="Arial" w:eastAsia="Times New Roman" w:hAnsi="Arial" w:cs="Arial"/>
          <w:color w:val="000000"/>
          <w:sz w:val="18"/>
          <w:szCs w:val="18"/>
        </w:rPr>
      </w:pPr>
      <w:r w:rsidRPr="00E35999">
        <w:rPr>
          <w:rFonts w:ascii="Arial" w:eastAsia="Times New Roman" w:hAnsi="Arial" w:cs="Arial"/>
          <w:color w:val="000000"/>
          <w:sz w:val="18"/>
          <w:szCs w:val="18"/>
          <w:vertAlign w:val="superscript"/>
        </w:rPr>
        <w:t>7</w:t>
      </w:r>
      <w:r w:rsidRPr="00E35999">
        <w:rPr>
          <w:rFonts w:ascii="Arial" w:eastAsia="Times New Roman" w:hAnsi="Arial" w:cs="Arial"/>
          <w:color w:val="000000"/>
          <w:sz w:val="18"/>
          <w:szCs w:val="18"/>
        </w:rPr>
        <w:t> Quyền hạn và chức vụ của người ký báo cáo.</w:t>
      </w:r>
    </w:p>
    <w:p w:rsidR="0005382B" w:rsidRDefault="0005382B">
      <w:bookmarkStart w:id="4" w:name="_GoBack"/>
      <w:bookmarkEnd w:id="4"/>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99"/>
    <w:rsid w:val="0005382B"/>
    <w:rsid w:val="00485743"/>
    <w:rsid w:val="00E3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0DD06-283D-49D7-A29E-A30E88A4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999"/>
    <w:pPr>
      <w:spacing w:before="100" w:beforeAutospacing="1" w:after="100" w:afterAutospacing="1" w:line="240" w:lineRule="auto"/>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E359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50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vi-pham-hanh-chinh/nghi-dinh-118-2021-nd-cp-huong-dan-luat-xu-ly-vi-pham-hanh-chinh-477969.aspx" TargetMode="External"/><Relationship Id="rId4" Type="http://schemas.openxmlformats.org/officeDocument/2006/relationships/hyperlink" Target="https://thuvienphapluat.vn/van-ban/vi-pham-hanh-chinh/nghi-dinh-118-2021-nd-cp-huong-dan-luat-xu-ly-vi-pham-hanh-chinh-47796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2024-12-12T07:41:00Z</dcterms:created>
  <dcterms:modified xsi:type="dcterms:W3CDTF">2024-12-12T07:42:00Z</dcterms:modified>
</cp:coreProperties>
</file>