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338D" w:rsidRDefault="00CB338D" w:rsidP="00CB338D">
      <w:pPr>
        <w:pStyle w:val="NormalWeb"/>
        <w:shd w:val="clear" w:color="auto" w:fill="FFFFFF"/>
        <w:spacing w:before="0" w:beforeAutospacing="0" w:after="0" w:afterAutospacing="0" w:line="234" w:lineRule="atLeast"/>
        <w:jc w:val="center"/>
        <w:rPr>
          <w:rFonts w:ascii="Arial" w:hAnsi="Arial" w:cs="Arial"/>
          <w:color w:val="000000"/>
          <w:sz w:val="18"/>
          <w:szCs w:val="18"/>
        </w:rPr>
      </w:pPr>
      <w:bookmarkStart w:id="0" w:name="chuong_pl_2"/>
      <w:r>
        <w:rPr>
          <w:rFonts w:ascii="Arial" w:hAnsi="Arial" w:cs="Arial"/>
          <w:b/>
          <w:bCs/>
          <w:color w:val="000000"/>
          <w:lang w:val="vi-VN"/>
        </w:rPr>
        <w:t>PHỤ LỤC II</w:t>
      </w:r>
      <w:bookmarkEnd w:id="0"/>
    </w:p>
    <w:p w:rsidR="00CB338D" w:rsidRDefault="00CB338D" w:rsidP="00CB338D">
      <w:pPr>
        <w:pStyle w:val="NormalWeb"/>
        <w:shd w:val="clear" w:color="auto" w:fill="FFFFFF"/>
        <w:spacing w:before="0" w:beforeAutospacing="0" w:after="0" w:afterAutospacing="0" w:line="234" w:lineRule="atLeast"/>
        <w:jc w:val="center"/>
        <w:rPr>
          <w:rFonts w:ascii="Arial" w:hAnsi="Arial" w:cs="Arial"/>
          <w:color w:val="000000"/>
          <w:sz w:val="18"/>
          <w:szCs w:val="18"/>
        </w:rPr>
      </w:pPr>
      <w:bookmarkStart w:id="1" w:name="chuong_pl_2_name"/>
      <w:r>
        <w:rPr>
          <w:rFonts w:ascii="Arial" w:hAnsi="Arial" w:cs="Arial"/>
          <w:color w:val="000000"/>
          <w:sz w:val="18"/>
          <w:szCs w:val="18"/>
          <w:lang w:val="vi-VN"/>
        </w:rPr>
        <w:t>DANH MỤC HÀNG HÓA, DỊCH VỤ CHỊU THUẾ TIÊU THỤ ĐẶC BIỆT KHÔNG ĐƯỢC GIẢM THUẾ GIÁ TRỊ GIA TĂNG</w:t>
      </w:r>
      <w:bookmarkEnd w:id="1"/>
      <w:r>
        <w:rPr>
          <w:rFonts w:ascii="Arial" w:hAnsi="Arial" w:cs="Arial"/>
          <w:color w:val="000000"/>
          <w:sz w:val="18"/>
          <w:szCs w:val="18"/>
          <w:lang w:val="vi-VN"/>
        </w:rPr>
        <w:br/>
      </w:r>
      <w:r>
        <w:rPr>
          <w:rFonts w:ascii="Arial" w:hAnsi="Arial" w:cs="Arial"/>
          <w:i/>
          <w:iCs/>
          <w:color w:val="000000"/>
          <w:sz w:val="18"/>
          <w:szCs w:val="18"/>
          <w:lang w:val="vi-VN"/>
        </w:rPr>
        <w:t>(Kèm theo Nghị định số 174/2025/NĐ-CP ngày 30 tháng 6 năm 2025 của Chính phủ)</w:t>
      </w:r>
    </w:p>
    <w:p w:rsidR="00CB338D" w:rsidRDefault="00CB338D" w:rsidP="00CB338D">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b/>
          <w:bCs/>
          <w:color w:val="000000"/>
          <w:sz w:val="18"/>
          <w:szCs w:val="18"/>
          <w:lang w:val="vi-VN"/>
        </w:rPr>
        <w:t>I.</w:t>
      </w:r>
      <w:r>
        <w:rPr>
          <w:rFonts w:ascii="Arial" w:hAnsi="Arial" w:cs="Arial"/>
          <w:color w:val="000000"/>
          <w:sz w:val="18"/>
          <w:szCs w:val="18"/>
          <w:lang w:val="vi-VN"/>
        </w:rPr>
        <w:t> </w:t>
      </w:r>
      <w:r>
        <w:rPr>
          <w:rFonts w:ascii="Arial" w:hAnsi="Arial" w:cs="Arial"/>
          <w:b/>
          <w:bCs/>
          <w:color w:val="000000"/>
          <w:sz w:val="18"/>
          <w:szCs w:val="18"/>
          <w:lang w:val="vi-VN"/>
        </w:rPr>
        <w:t>Hàng hóa, dịch vụ chịu thuế tiêu thụ đặc biệt theo quy định từ ngày 01 tháng 7 năm 2025 đến hết ngày 31 tháng 12 năm 2025</w:t>
      </w:r>
    </w:p>
    <w:p w:rsidR="00CB338D" w:rsidRDefault="00CB338D" w:rsidP="00CB338D">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lang w:val="vi-VN"/>
        </w:rPr>
        <w:t>1. Hàng hóa:</w:t>
      </w:r>
    </w:p>
    <w:p w:rsidR="00CB338D" w:rsidRDefault="00CB338D" w:rsidP="00CB338D">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lang w:val="vi-VN"/>
        </w:rPr>
        <w:t>a) Thuốc lá điếu, xì gà và chế phẩm khác từ cây thuốc lá dùng để hút, hít, nhai, ngửi, ngậm;</w:t>
      </w:r>
    </w:p>
    <w:p w:rsidR="00CB338D" w:rsidRDefault="00CB338D" w:rsidP="00CB338D">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lang w:val="vi-VN"/>
        </w:rPr>
        <w:t>b) Rượu;</w:t>
      </w:r>
    </w:p>
    <w:p w:rsidR="00CB338D" w:rsidRDefault="00CB338D" w:rsidP="00CB338D">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lang w:val="vi-VN"/>
        </w:rPr>
        <w:t>c) Bia;</w:t>
      </w:r>
    </w:p>
    <w:p w:rsidR="00CB338D" w:rsidRDefault="00CB338D" w:rsidP="00CB338D">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lang w:val="vi-VN"/>
        </w:rPr>
        <w:t>d) Xe ô tô dưới 24 chỗ, kể cả xe ô tô vừa chở người, vừa chở hàng loại có từ hai hàng ghế trở lên, có thiết kế vách ngăn cố định giữa khoang chở người và khoang chở hàng;</w:t>
      </w:r>
    </w:p>
    <w:p w:rsidR="00CB338D" w:rsidRDefault="00CB338D" w:rsidP="00CB338D">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lang w:val="vi-VN"/>
        </w:rPr>
        <w:t>đ) Xe mô tô hai bánh, xe mô tô ba bánh có dung tích xi lanh trên 125 cm</w:t>
      </w:r>
      <w:r>
        <w:rPr>
          <w:rFonts w:ascii="Arial" w:hAnsi="Arial" w:cs="Arial"/>
          <w:color w:val="000000"/>
          <w:sz w:val="18"/>
          <w:szCs w:val="18"/>
          <w:vertAlign w:val="superscript"/>
          <w:lang w:val="vi-VN"/>
        </w:rPr>
        <w:t>3</w:t>
      </w:r>
      <w:r>
        <w:rPr>
          <w:rFonts w:ascii="Arial" w:hAnsi="Arial" w:cs="Arial"/>
          <w:color w:val="000000"/>
          <w:sz w:val="18"/>
          <w:szCs w:val="18"/>
          <w:lang w:val="vi-VN"/>
        </w:rPr>
        <w:t>;</w:t>
      </w:r>
    </w:p>
    <w:p w:rsidR="00CB338D" w:rsidRDefault="00CB338D" w:rsidP="00CB338D">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lang w:val="fr-FR"/>
        </w:rPr>
        <w:t>e) Tàu bay, du thuyền;</w:t>
      </w:r>
    </w:p>
    <w:p w:rsidR="00CB338D" w:rsidRDefault="00CB338D" w:rsidP="00CB338D">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lang w:val="fr-FR"/>
        </w:rPr>
        <w:t>g) Điều hoà nhiệt độ công suất từ 90.000 BTU trở xuống;</w:t>
      </w:r>
    </w:p>
    <w:p w:rsidR="00CB338D" w:rsidRDefault="00CB338D" w:rsidP="00CB338D">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lang w:val="vi-VN"/>
        </w:rPr>
        <w:t>h) Bài lá;</w:t>
      </w:r>
    </w:p>
    <w:p w:rsidR="00CB338D" w:rsidRDefault="00CB338D" w:rsidP="00CB338D">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lang w:val="vi-VN"/>
        </w:rPr>
        <w:t>i) Vàng mã, hàng mã.</w:t>
      </w:r>
    </w:p>
    <w:p w:rsidR="00CB338D" w:rsidRDefault="00CB338D" w:rsidP="00CB338D">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lang w:val="vi-VN"/>
        </w:rPr>
        <w:t>2. Dịch vụ:</w:t>
      </w:r>
    </w:p>
    <w:p w:rsidR="00CB338D" w:rsidRDefault="00CB338D" w:rsidP="00CB338D">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lang w:val="vi-VN"/>
        </w:rPr>
        <w:t>a) Kinh doanh vũ trường;</w:t>
      </w:r>
    </w:p>
    <w:p w:rsidR="00CB338D" w:rsidRDefault="00CB338D" w:rsidP="00CB338D">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lang w:val="vi-VN"/>
        </w:rPr>
        <w:t>b) Kinh doanh mát-xa (massage), ka-ra-ô-kê (karaoke);</w:t>
      </w:r>
    </w:p>
    <w:p w:rsidR="00CB338D" w:rsidRDefault="00CB338D" w:rsidP="00CB338D">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lang w:val="vi-VN"/>
        </w:rPr>
        <w:t>c) Kinh doanh ca-si-nô (casino); trò chơi điện tử có thưởng bao gồm trò chơi bằng máy giắc-pót (jackpot), máy sờ-lot (slot) và các loại máy tương tự;</w:t>
      </w:r>
    </w:p>
    <w:p w:rsidR="00CB338D" w:rsidRDefault="00CB338D" w:rsidP="00CB338D">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lang w:val="vi-VN"/>
        </w:rPr>
        <w:t>d) Kinh doanh đặt cược;</w:t>
      </w:r>
    </w:p>
    <w:p w:rsidR="00CB338D" w:rsidRDefault="00CB338D" w:rsidP="00CB338D">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lang w:val="vi-VN"/>
        </w:rPr>
        <w:t>đ) Kinh doanh gôn (golf) bao gồm bán thẻ hội viên, vé chơi gôn;</w:t>
      </w:r>
    </w:p>
    <w:p w:rsidR="00CB338D" w:rsidRDefault="00CB338D" w:rsidP="00CB338D">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lang w:val="vi-VN"/>
        </w:rPr>
        <w:t>e) Kinh doanh xổ số.</w:t>
      </w:r>
    </w:p>
    <w:p w:rsidR="00CB338D" w:rsidRDefault="00CB338D" w:rsidP="00CB338D">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b/>
          <w:bCs/>
          <w:color w:val="000000"/>
          <w:sz w:val="18"/>
          <w:szCs w:val="18"/>
          <w:lang w:val="vi-VN"/>
        </w:rPr>
        <w:t>II.</w:t>
      </w:r>
      <w:r>
        <w:rPr>
          <w:rFonts w:ascii="Arial" w:hAnsi="Arial" w:cs="Arial"/>
          <w:color w:val="000000"/>
          <w:sz w:val="18"/>
          <w:szCs w:val="18"/>
          <w:lang w:val="vi-VN"/>
        </w:rPr>
        <w:t> </w:t>
      </w:r>
      <w:r>
        <w:rPr>
          <w:rFonts w:ascii="Arial" w:hAnsi="Arial" w:cs="Arial"/>
          <w:b/>
          <w:bCs/>
          <w:color w:val="000000"/>
          <w:sz w:val="18"/>
          <w:szCs w:val="18"/>
          <w:lang w:val="vi-VN"/>
        </w:rPr>
        <w:t>Hàng hóa, dịch vụ chịu thuế tiêu thụ đặc biệt theo quy định từ ngày 01 tháng 01 năm 2026 đến hết ngày 31 tháng 12 năm 2026</w:t>
      </w:r>
    </w:p>
    <w:p w:rsidR="00CB338D" w:rsidRDefault="00CB338D" w:rsidP="00CB338D">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lang w:val="vi-VN"/>
        </w:rPr>
        <w:t>1. Hàng hóa bao gồm:</w:t>
      </w:r>
    </w:p>
    <w:p w:rsidR="00CB338D" w:rsidRDefault="00CB338D" w:rsidP="00CB338D">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lang w:val="vi-VN"/>
        </w:rPr>
        <w:t>a) Thuốc lá theo quy định của Luật Phòng, chống tác hại của thuốc lá;</w:t>
      </w:r>
    </w:p>
    <w:p w:rsidR="00CB338D" w:rsidRDefault="00CB338D" w:rsidP="00CB338D">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lang w:val="vi-VN"/>
        </w:rPr>
        <w:t>b) Rượu theo quy định của Luật Phòng, chống tác hại của rượu, bia;</w:t>
      </w:r>
    </w:p>
    <w:p w:rsidR="00CB338D" w:rsidRDefault="00CB338D" w:rsidP="00CB338D">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lang w:val="vi-VN"/>
        </w:rPr>
        <w:t>c) Bia theo quy định của Luật Phòng, chống tác hại của rượu, bia;</w:t>
      </w:r>
    </w:p>
    <w:p w:rsidR="00CB338D" w:rsidRDefault="00CB338D" w:rsidP="00CB338D">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lang w:val="vi-VN"/>
        </w:rPr>
        <w:t>d) Xe có gắn động cơ dưới 24 chỗ, bao gồm: xe ô tô chở người; xe chở người bốn bánh có gắn động cơ; xe ô tô pick-up chở người; xe ô tô pick-up chở hàng cabin kép; xe ô tô tải VAN có từ hai hàng ghế trở lên, có thiết kế vách ngăn cố định giữa khoang chở người và khoang chở hàng;</w:t>
      </w:r>
    </w:p>
    <w:p w:rsidR="00CB338D" w:rsidRDefault="00CB338D" w:rsidP="00CB338D">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lang w:val="vi-VN"/>
        </w:rPr>
        <w:t>đ) Xe mô tô hai bánh, xe mô tô ba bánh có dung tích xi lanh trên 125 cm</w:t>
      </w:r>
      <w:r>
        <w:rPr>
          <w:rFonts w:ascii="Arial" w:hAnsi="Arial" w:cs="Arial"/>
          <w:color w:val="000000"/>
          <w:sz w:val="18"/>
          <w:szCs w:val="18"/>
          <w:vertAlign w:val="superscript"/>
          <w:lang w:val="vi-VN"/>
        </w:rPr>
        <w:t>3</w:t>
      </w:r>
      <w:r>
        <w:rPr>
          <w:rFonts w:ascii="Arial" w:hAnsi="Arial" w:cs="Arial"/>
          <w:color w:val="000000"/>
          <w:sz w:val="18"/>
          <w:szCs w:val="18"/>
          <w:lang w:val="vi-VN"/>
        </w:rPr>
        <w:t>;</w:t>
      </w:r>
    </w:p>
    <w:p w:rsidR="00CB338D" w:rsidRDefault="00CB338D" w:rsidP="00CB338D">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lang w:val="vi-VN"/>
        </w:rPr>
        <w:t>e) Máy bay, trực thăng, tàu lượn và du thuyền;</w:t>
      </w:r>
    </w:p>
    <w:p w:rsidR="00CB338D" w:rsidRDefault="00CB338D" w:rsidP="00CB338D">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lang w:val="vi-VN"/>
        </w:rPr>
        <w:t>g) Điều hoà nhiệt độ công suất trên 24.000 BTU đến 90.000 BTU trừ loại theo thiết kế của nhà sản xuất chỉ để lắp trên phương tiện vận tải bao gồm ô tô, toa xe lửa, máy bay, trực thăng, tàu, thuyền. Trường hợp tổ chức, cá nhân sản xuất bán hoặc tổ chức, cá nhân nhập khẩu nhập tách riêng từng bộ phận là cục nóng hoặc cục lạnh thì hàng hóa bán ra hoặc nhập khẩu (cục nóng, cục lạnh) vẫn thuộc đối tượng chịu thuế tiêu thụ đặc biệt như đối với sản phẩm hoàn chỉnh (máy điều hòa nhiệt độ hoàn chỉnh);</w:t>
      </w:r>
    </w:p>
    <w:p w:rsidR="00CB338D" w:rsidRDefault="00CB338D" w:rsidP="00CB338D">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lang w:val="vi-VN"/>
        </w:rPr>
        <w:lastRenderedPageBreak/>
        <w:t>h) Bài lá;</w:t>
      </w:r>
    </w:p>
    <w:p w:rsidR="00CB338D" w:rsidRDefault="00CB338D" w:rsidP="00CB338D">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lang w:val="vi-VN"/>
        </w:rPr>
        <w:t>i) Vàng mã, hàng mã, không bao gồm hàng mã là đồ chơi trẻ em và đồ dùng dạy học;</w:t>
      </w:r>
    </w:p>
    <w:p w:rsidR="00CB338D" w:rsidRDefault="00CB338D" w:rsidP="00CB338D">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lang w:val="vi-VN"/>
        </w:rPr>
        <w:t>k) Nước giải khát theo Tiêu chuẩn quốc gia (TCVN) có hàm lượng đường trên 5g/100ml.</w:t>
      </w:r>
    </w:p>
    <w:p w:rsidR="00CB338D" w:rsidRDefault="00CB338D" w:rsidP="00CB338D">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lang w:val="vi-VN"/>
        </w:rPr>
        <w:t>2. Dịch vụ bao gồm:</w:t>
      </w:r>
    </w:p>
    <w:p w:rsidR="00CB338D" w:rsidRDefault="00CB338D" w:rsidP="00CB338D">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lang w:val="vi-VN"/>
        </w:rPr>
        <w:t>a) Kinh doanh vũ trường;</w:t>
      </w:r>
    </w:p>
    <w:p w:rsidR="00CB338D" w:rsidRDefault="00CB338D" w:rsidP="00CB338D">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lang w:val="vi-VN"/>
        </w:rPr>
        <w:t>b) Kinh doanh mát-xa (massage), ka-ra-ô-kê (karaoke);</w:t>
      </w:r>
    </w:p>
    <w:p w:rsidR="00CB338D" w:rsidRDefault="00CB338D" w:rsidP="00CB338D">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lang w:val="vi-VN"/>
        </w:rPr>
        <w:t>c) Kinh doanh ca-si-nô (casino); trò chơi điện tử có thưởng bao gồm trò chơi bằng máy giắc-pót (jackpot), máy sờ-lot (slot) và các loại máy tương tự;</w:t>
      </w:r>
    </w:p>
    <w:p w:rsidR="00CB338D" w:rsidRDefault="00CB338D" w:rsidP="00CB338D">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lang w:val="vi-VN"/>
        </w:rPr>
        <w:t>d) Kinh doanh đặt cược bao gồm đặt cược thể thao, giải trí và các hình thức đặt cược khác theo quy định của pháp luật;</w:t>
      </w:r>
    </w:p>
    <w:p w:rsidR="00CB338D" w:rsidRDefault="00CB338D" w:rsidP="00CB338D">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lang w:val="vi-VN"/>
        </w:rPr>
        <w:t>đ) Kinh doanh gôn (golf);</w:t>
      </w:r>
    </w:p>
    <w:p w:rsidR="00CB338D" w:rsidRDefault="00CB338D" w:rsidP="00CB338D">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lang w:val="vi-VN"/>
        </w:rPr>
        <w:t>e) Kinh doanh xổ số.</w:t>
      </w:r>
    </w:p>
    <w:p w:rsidR="00CB338D" w:rsidRDefault="00CB338D" w:rsidP="00CB338D">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b/>
          <w:bCs/>
          <w:i/>
          <w:iCs/>
          <w:color w:val="000000"/>
          <w:sz w:val="18"/>
          <w:szCs w:val="18"/>
          <w:lang w:val="vi-VN"/>
        </w:rPr>
        <w:t>Ghi chú:</w:t>
      </w:r>
      <w:r>
        <w:rPr>
          <w:rFonts w:ascii="Arial" w:hAnsi="Arial" w:cs="Arial"/>
          <w:color w:val="000000"/>
          <w:sz w:val="18"/>
          <w:szCs w:val="18"/>
          <w:lang w:val="vi-VN"/>
        </w:rPr>
        <w:t> Phụ lục Danh mục hàng hóa, dịch vụ chịu thuế tiêu thụ đặc biệt không được giảm thuế giá trị gia tăng (không bao gồm hàng hóa, dịch vụ thuộc đối tượng không chịu thuế tiêu thụ đặc biệt và mặt hàng xăng các loại) theo quy định của Luật Thuế tiêu thụ đặc biệt số 27/2008/QH12 đã được sửa đổi, bổ sung tại Luật số 70/2014/QH13, Luật số 71/2014/QH13, Luật số 106/2016/QH13 và Luật số 03/2022/QH15, Luật Thuế tiêu thụ đặc biệt số 66/2025/QH15.</w:t>
      </w:r>
    </w:p>
    <w:p w:rsidR="007F7F13" w:rsidRDefault="00CB338D">
      <w:bookmarkStart w:id="2" w:name="_GoBack"/>
      <w:bookmarkEnd w:id="2"/>
    </w:p>
    <w:sectPr w:rsidR="007F7F1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338D"/>
    <w:rsid w:val="00CB338D"/>
    <w:rsid w:val="00D86AED"/>
    <w:rsid w:val="00F745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9BF1FD0-511E-49FE-A31B-3A59EE14D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B338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4048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511</Words>
  <Characters>2913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2025-08-02T09:41:00Z</dcterms:created>
  <dcterms:modified xsi:type="dcterms:W3CDTF">2025-08-02T09:41:00Z</dcterms:modified>
</cp:coreProperties>
</file>