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697"/>
      </w:tblGrid>
      <w:tr w:rsidR="008C4B1E" w:rsidRPr="008C4B1E" w:rsidTr="008C4B1E">
        <w:trPr>
          <w:tblCellSpacing w:w="0" w:type="dxa"/>
        </w:trPr>
        <w:tc>
          <w:tcPr>
            <w:tcW w:w="34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B1E" w:rsidRPr="008C4B1E" w:rsidRDefault="008C4B1E" w:rsidP="00BE29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ỦY BAN NHÂN DÂN</w:t>
            </w:r>
            <w:r w:rsidRPr="008C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XÃ (PHƯỜNG, THỊ TRẤN)</w:t>
            </w:r>
            <w:r w:rsidRPr="008C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………</w:t>
            </w:r>
            <w:r w:rsidRPr="008C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</w:t>
            </w:r>
          </w:p>
        </w:tc>
        <w:tc>
          <w:tcPr>
            <w:tcW w:w="6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B1E" w:rsidRPr="008C4B1E" w:rsidRDefault="008C4B1E" w:rsidP="00BE290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C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8C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8C4B1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8C4B1E" w:rsidRPr="008C4B1E" w:rsidTr="008C4B1E">
        <w:trPr>
          <w:tblCellSpacing w:w="0" w:type="dxa"/>
        </w:trPr>
        <w:tc>
          <w:tcPr>
            <w:tcW w:w="3402" w:type="dxa"/>
            <w:vMerge/>
            <w:shd w:val="clear" w:color="auto" w:fill="FFFFFF"/>
            <w:vAlign w:val="center"/>
            <w:hideMark/>
          </w:tcPr>
          <w:p w:rsidR="008C4B1E" w:rsidRPr="008C4B1E" w:rsidRDefault="008C4B1E" w:rsidP="00BE290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6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B1E" w:rsidRPr="008C4B1E" w:rsidRDefault="008C4B1E" w:rsidP="00BE290D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….., ngày … tháng … năm ….</w:t>
            </w:r>
          </w:p>
        </w:tc>
      </w:tr>
    </w:tbl>
    <w:p w:rsidR="008C4B1E" w:rsidRDefault="008C4B1E" w:rsidP="00BE290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C4B1E" w:rsidRPr="008C4B1E" w:rsidRDefault="008C4B1E" w:rsidP="00BE290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C4B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 ĐỊNH</w:t>
      </w:r>
    </w:p>
    <w:p w:rsidR="008C4B1E" w:rsidRPr="008C4B1E" w:rsidRDefault="008C4B1E" w:rsidP="00BE290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C4B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Về việc thành lập các Tổ lấy ý kiến cử tri về nội dung Đề án sắp xếp</w:t>
      </w:r>
    </w:p>
    <w:p w:rsidR="008C4B1E" w:rsidRDefault="008C4B1E" w:rsidP="00BE290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C4B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vị hành chính cấp xã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….</w:t>
      </w:r>
    </w:p>
    <w:p w:rsidR="008C4B1E" w:rsidRPr="008C4B1E" w:rsidRDefault="00BE290D" w:rsidP="00BE290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A92CA" wp14:editId="1DBE2EEB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12858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F333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101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BE290D" w:rsidRDefault="008C4B1E" w:rsidP="00BE290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C4B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 TỊCH ỦY BAN NHÂN DÂN XÃ</w:t>
      </w:r>
      <w:r w:rsidRPr="008C4B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cr/>
      </w:r>
    </w:p>
    <w:p w:rsidR="00BE290D" w:rsidRPr="008E61FF" w:rsidRDefault="00BE290D" w:rsidP="00BE29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</w:pP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Căn cứ 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Luật Tổ chức chính quyền địa phương số 65/2025/QH15 ngày 19 tháng 02 năm 2025;</w:t>
      </w:r>
    </w:p>
    <w:p w:rsidR="00BE290D" w:rsidRPr="008E61FF" w:rsidRDefault="00BE290D" w:rsidP="00BE29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</w:pP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Căn cứ Luật Thực hiện dân chủ ở cơ sở ngày 10/11/2022;</w:t>
      </w:r>
    </w:p>
    <w:p w:rsidR="00BE290D" w:rsidRPr="008E61FF" w:rsidRDefault="00BE290D" w:rsidP="00BE29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</w:pP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Căn cứ 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Nghị định 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s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ố 54/NĐ-CP ngày 16/4/2018 hướng dẫn lấy ý kiến 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cử tri về thành lập, giải thể, nhập c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hia, điều chỉnh địa giới đơn vị 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hành chính;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 Nghị định 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số 66/NĐ-CP ngày 24/8/2023 sửa đổ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i, bổ sung một số điều của Nghị định số 54/2018/NĐ-CP ngày 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16/4/2018 của Chín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h phủ hướng dẫn việc lấy ý kiến 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cử tri về thành lập, giải thể, nhập, chia, điều chỉnh địa giới đơn vị hành chính;</w:t>
      </w:r>
    </w:p>
    <w:p w:rsidR="00BE290D" w:rsidRPr="008E61FF" w:rsidRDefault="00BE290D" w:rsidP="00BE29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</w:pP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Căn cứ Văn bản số 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…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 ngày 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… của …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 về việc lấy ý kiến cử tri đối với Đề 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án sắp xếp đơn vị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 hành chính 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…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;</w:t>
      </w:r>
    </w:p>
    <w:p w:rsidR="00BE290D" w:rsidRPr="008E61FF" w:rsidRDefault="00BE290D" w:rsidP="00BE290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</w:pP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Thực hiện Kế hoạch số 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…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 ngày 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… của Ủy ban nhân 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dân huyện về việc tổ chức lấy ý kiến cử tri và 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 xml:space="preserve">trình Hội đồng nhân dân các cấp 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thông qua nội dung Đề án sắp xếp đơn vị h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ành chính cấp xã…</w:t>
      </w:r>
      <w:r w:rsidRPr="008E61F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</w:rPr>
        <w:t>;</w:t>
      </w:r>
      <w:bookmarkStart w:id="0" w:name="_GoBack"/>
      <w:bookmarkEnd w:id="0"/>
    </w:p>
    <w:p w:rsidR="00BE290D" w:rsidRPr="00BE290D" w:rsidRDefault="00BE290D" w:rsidP="00BE290D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290D">
        <w:rPr>
          <w:rFonts w:ascii="Times New Roman" w:hAnsi="Times New Roman" w:cs="Times New Roman"/>
          <w:b/>
          <w:sz w:val="26"/>
          <w:szCs w:val="26"/>
        </w:rPr>
        <w:t>QUYẾT ĐỊNH:</w:t>
      </w:r>
    </w:p>
    <w:p w:rsidR="00BE290D" w:rsidRP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E290D">
        <w:rPr>
          <w:rFonts w:ascii="Times New Roman" w:hAnsi="Times New Roman" w:cs="Times New Roman"/>
          <w:b/>
          <w:sz w:val="26"/>
          <w:szCs w:val="26"/>
        </w:rPr>
        <w:t>Điều 1:</w:t>
      </w:r>
      <w:r w:rsidRPr="00BE290D">
        <w:rPr>
          <w:rFonts w:ascii="Times New Roman" w:hAnsi="Times New Roman" w:cs="Times New Roman"/>
          <w:sz w:val="26"/>
          <w:szCs w:val="26"/>
        </w:rPr>
        <w:t xml:space="preserve"> Thành lập các Tổ lấy ý kiến cử tri như sau:</w:t>
      </w:r>
    </w:p>
    <w:p w:rsidR="007F7F13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E290D">
        <w:rPr>
          <w:rFonts w:ascii="Times New Roman" w:hAnsi="Times New Roman" w:cs="Times New Roman"/>
          <w:b/>
          <w:sz w:val="26"/>
          <w:szCs w:val="26"/>
        </w:rPr>
        <w:t>1.</w:t>
      </w:r>
      <w:r w:rsidRPr="00BE290D">
        <w:rPr>
          <w:rFonts w:ascii="Times New Roman" w:hAnsi="Times New Roman" w:cs="Times New Roman"/>
          <w:sz w:val="26"/>
          <w:szCs w:val="26"/>
        </w:rPr>
        <w:t xml:space="preserve"> Tổ lấy ý kiến cử tri tại thôn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BE290D">
        <w:rPr>
          <w:rFonts w:ascii="Times New Roman" w:hAnsi="Times New Roman" w:cs="Times New Roman"/>
          <w:sz w:val="26"/>
          <w:szCs w:val="26"/>
        </w:rPr>
        <w:t>, gồm các ông (bà) có tên sau:</w:t>
      </w:r>
    </w:p>
    <w:p w:rsid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Ông/bà …. – (Chức vụ)…: Tổ trưởng</w:t>
      </w:r>
    </w:p>
    <w:p w:rsid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Ông/bà …. – (Chức vụ)</w:t>
      </w:r>
      <w:r>
        <w:rPr>
          <w:rFonts w:ascii="Times New Roman" w:hAnsi="Times New Roman" w:cs="Times New Roman"/>
          <w:sz w:val="26"/>
          <w:szCs w:val="26"/>
        </w:rPr>
        <w:t>…: Phó t</w:t>
      </w:r>
      <w:r>
        <w:rPr>
          <w:rFonts w:ascii="Times New Roman" w:hAnsi="Times New Roman" w:cs="Times New Roman"/>
          <w:sz w:val="26"/>
          <w:szCs w:val="26"/>
        </w:rPr>
        <w:t>ổ trưởng</w:t>
      </w:r>
    </w:p>
    <w:p w:rsidR="00BE290D" w:rsidRDefault="00BE290D" w:rsidP="00BE290D">
      <w:pPr>
        <w:shd w:val="clear" w:color="auto" w:fill="FFFFFF"/>
        <w:tabs>
          <w:tab w:val="center" w:pos="4680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Ông/bà …. – (Chức vụ)…: Tổ </w:t>
      </w:r>
      <w:r>
        <w:rPr>
          <w:rFonts w:ascii="Times New Roman" w:hAnsi="Times New Roman" w:cs="Times New Roman"/>
          <w:sz w:val="26"/>
          <w:szCs w:val="26"/>
        </w:rPr>
        <w:t>viên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E290D">
        <w:rPr>
          <w:rFonts w:ascii="Times New Roman" w:hAnsi="Times New Roman" w:cs="Times New Roman"/>
          <w:b/>
          <w:sz w:val="26"/>
          <w:szCs w:val="26"/>
        </w:rPr>
        <w:t>.</w:t>
      </w:r>
      <w:r w:rsidRPr="00BE290D">
        <w:rPr>
          <w:rFonts w:ascii="Times New Roman" w:hAnsi="Times New Roman" w:cs="Times New Roman"/>
          <w:sz w:val="26"/>
          <w:szCs w:val="26"/>
        </w:rPr>
        <w:t xml:space="preserve"> Tổ lấy ý kiến cử tri tại thôn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BE290D">
        <w:rPr>
          <w:rFonts w:ascii="Times New Roman" w:hAnsi="Times New Roman" w:cs="Times New Roman"/>
          <w:sz w:val="26"/>
          <w:szCs w:val="26"/>
        </w:rPr>
        <w:t>, gồm các ông (bà) có tên sau:</w:t>
      </w:r>
    </w:p>
    <w:p w:rsid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Ông/bà …. – (Chức vụ)…: Tổ trưởng</w:t>
      </w:r>
    </w:p>
    <w:p w:rsid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Ông/bà …. – (Chức vụ)…: Phó tổ trưởng</w:t>
      </w:r>
    </w:p>
    <w:p w:rsidR="00BE290D" w:rsidRDefault="00BE290D" w:rsidP="00BE290D">
      <w:pPr>
        <w:shd w:val="clear" w:color="auto" w:fill="FFFFFF"/>
        <w:tabs>
          <w:tab w:val="center" w:pos="4680"/>
        </w:tabs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Ông/bà …. – (Chức vụ)…: Tổ viên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290D" w:rsidRP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E290D">
        <w:rPr>
          <w:rFonts w:ascii="Times New Roman" w:hAnsi="Times New Roman" w:cs="Times New Roman"/>
          <w:b/>
          <w:sz w:val="26"/>
          <w:szCs w:val="26"/>
        </w:rPr>
        <w:t>Điều 2:</w:t>
      </w:r>
      <w:r w:rsidRPr="00BE290D">
        <w:rPr>
          <w:rFonts w:ascii="Times New Roman" w:hAnsi="Times New Roman" w:cs="Times New Roman"/>
          <w:sz w:val="26"/>
          <w:szCs w:val="26"/>
        </w:rPr>
        <w:t xml:space="preserve"> Nhiệm vụ của Tổ lấy ý kiến cử tri</w:t>
      </w:r>
    </w:p>
    <w:p w:rsidR="00BE290D" w:rsidRP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E290D">
        <w:rPr>
          <w:rFonts w:ascii="Times New Roman" w:hAnsi="Times New Roman" w:cs="Times New Roman"/>
          <w:sz w:val="26"/>
          <w:szCs w:val="26"/>
        </w:rPr>
        <w:t>- Tổ lấy ý kiến cử tri có trách nhiệm nhận Phiếu lấy ý kiến cử</w:t>
      </w:r>
      <w:r>
        <w:rPr>
          <w:rFonts w:ascii="Times New Roman" w:hAnsi="Times New Roman" w:cs="Times New Roman"/>
          <w:sz w:val="26"/>
          <w:szCs w:val="26"/>
        </w:rPr>
        <w:t xml:space="preserve"> tri do UBND </w:t>
      </w:r>
      <w:r w:rsidRPr="00BE290D">
        <w:rPr>
          <w:rFonts w:ascii="Times New Roman" w:hAnsi="Times New Roman" w:cs="Times New Roman"/>
          <w:sz w:val="26"/>
          <w:szCs w:val="26"/>
        </w:rPr>
        <w:t>xã ban hành kèm theo Danh sách cử tri.</w:t>
      </w:r>
    </w:p>
    <w:p w:rsidR="00BE290D" w:rsidRP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E290D">
        <w:rPr>
          <w:rFonts w:ascii="Times New Roman" w:hAnsi="Times New Roman" w:cs="Times New Roman"/>
          <w:sz w:val="26"/>
          <w:szCs w:val="26"/>
        </w:rPr>
        <w:t>- Phân công cho các thành viên triển khai đến các hộ gia đình phát Phiế</w:t>
      </w:r>
      <w:r>
        <w:rPr>
          <w:rFonts w:ascii="Times New Roman" w:hAnsi="Times New Roman" w:cs="Times New Roman"/>
          <w:sz w:val="26"/>
          <w:szCs w:val="26"/>
        </w:rPr>
        <w:t xml:space="preserve">u </w:t>
      </w:r>
      <w:r w:rsidRPr="00BE290D">
        <w:rPr>
          <w:rFonts w:ascii="Times New Roman" w:hAnsi="Times New Roman" w:cs="Times New Roman"/>
          <w:sz w:val="26"/>
          <w:szCs w:val="26"/>
        </w:rPr>
        <w:t>lấy ý kiến cử tri hoặc tổ chức họp Nhân dân để lấy phiếu.</w:t>
      </w:r>
    </w:p>
    <w:p w:rsidR="00BE290D" w:rsidRP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E290D">
        <w:rPr>
          <w:rFonts w:ascii="Times New Roman" w:hAnsi="Times New Roman" w:cs="Times New Roman"/>
          <w:sz w:val="26"/>
          <w:szCs w:val="26"/>
        </w:rPr>
        <w:t>- Việc phát phiếu lấy ý kiến cử tri được thực hiện một cách khoa học, chặ</w:t>
      </w:r>
      <w:r>
        <w:rPr>
          <w:rFonts w:ascii="Times New Roman" w:hAnsi="Times New Roman" w:cs="Times New Roman"/>
          <w:sz w:val="26"/>
          <w:szCs w:val="26"/>
        </w:rPr>
        <w:t xml:space="preserve">t </w:t>
      </w:r>
      <w:r w:rsidRPr="00BE290D">
        <w:rPr>
          <w:rFonts w:ascii="Times New Roman" w:hAnsi="Times New Roman" w:cs="Times New Roman"/>
          <w:sz w:val="26"/>
          <w:szCs w:val="26"/>
        </w:rPr>
        <w:t>chẽ, cụ thể như sau:</w:t>
      </w:r>
    </w:p>
    <w:p w:rsidR="00BE290D" w:rsidRP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E290D">
        <w:rPr>
          <w:rFonts w:ascii="Times New Roman" w:hAnsi="Times New Roman" w:cs="Times New Roman"/>
          <w:sz w:val="26"/>
          <w:szCs w:val="26"/>
        </w:rPr>
        <w:t>+ Tổ lấy ý kiến cử tri phát phiếu cho cử tri, cử tri ký nhận việc nhận phiế</w:t>
      </w:r>
      <w:r>
        <w:rPr>
          <w:rFonts w:ascii="Times New Roman" w:hAnsi="Times New Roman" w:cs="Times New Roman"/>
          <w:sz w:val="26"/>
          <w:szCs w:val="26"/>
        </w:rPr>
        <w:t xml:space="preserve">u </w:t>
      </w:r>
      <w:r w:rsidRPr="00BE290D">
        <w:rPr>
          <w:rFonts w:ascii="Times New Roman" w:hAnsi="Times New Roman" w:cs="Times New Roman"/>
          <w:sz w:val="26"/>
          <w:szCs w:val="26"/>
        </w:rPr>
        <w:t>vào danh sách cử tri.</w:t>
      </w:r>
    </w:p>
    <w:p w:rsidR="00BE290D" w:rsidRP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E290D">
        <w:rPr>
          <w:rFonts w:ascii="Times New Roman" w:hAnsi="Times New Roman" w:cs="Times New Roman"/>
          <w:sz w:val="26"/>
          <w:szCs w:val="26"/>
        </w:rPr>
        <w:t>+ Sau khi nhận phiếu, cử tri nghiên cứu xem xét cho ý kiến vào ô “đồ</w:t>
      </w:r>
      <w:r>
        <w:rPr>
          <w:rFonts w:ascii="Times New Roman" w:hAnsi="Times New Roman" w:cs="Times New Roman"/>
          <w:sz w:val="26"/>
          <w:szCs w:val="26"/>
        </w:rPr>
        <w:t xml:space="preserve">ng ý” </w:t>
      </w:r>
      <w:r w:rsidRPr="00BE290D">
        <w:rPr>
          <w:rFonts w:ascii="Times New Roman" w:hAnsi="Times New Roman" w:cs="Times New Roman"/>
          <w:sz w:val="26"/>
          <w:szCs w:val="26"/>
        </w:rPr>
        <w:t>hoặc “không đồng ý” vào mỗi mục trên phiếu; hoặc có ý kiến khác vào phần “ý kiế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 w:rsidRPr="00BE290D">
        <w:rPr>
          <w:rFonts w:ascii="Times New Roman" w:hAnsi="Times New Roman" w:cs="Times New Roman"/>
          <w:sz w:val="26"/>
          <w:szCs w:val="26"/>
        </w:rPr>
        <w:t>khác…”, sau đó ký tên trên phiếu.</w:t>
      </w:r>
    </w:p>
    <w:p w:rsidR="00BE290D" w:rsidRP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E290D">
        <w:rPr>
          <w:rFonts w:ascii="Times New Roman" w:hAnsi="Times New Roman" w:cs="Times New Roman"/>
          <w:sz w:val="26"/>
          <w:szCs w:val="26"/>
        </w:rPr>
        <w:t>+ Sau khi Tổ lấy ý kiến cử tri triển khai xong công tác lấy ý kiến cử</w:t>
      </w:r>
      <w:r>
        <w:rPr>
          <w:rFonts w:ascii="Times New Roman" w:hAnsi="Times New Roman" w:cs="Times New Roman"/>
          <w:sz w:val="26"/>
          <w:szCs w:val="26"/>
        </w:rPr>
        <w:t xml:space="preserve"> tri các </w:t>
      </w:r>
      <w:r w:rsidRPr="00BE290D">
        <w:rPr>
          <w:rFonts w:ascii="Times New Roman" w:hAnsi="Times New Roman" w:cs="Times New Roman"/>
          <w:sz w:val="26"/>
          <w:szCs w:val="26"/>
        </w:rPr>
        <w:t>hộ gia đình trên địa bàn thôn hoặc hết thời gian theo Kế hoạch; trước khi tiế</w:t>
      </w:r>
      <w:r>
        <w:rPr>
          <w:rFonts w:ascii="Times New Roman" w:hAnsi="Times New Roman" w:cs="Times New Roman"/>
          <w:sz w:val="26"/>
          <w:szCs w:val="26"/>
        </w:rPr>
        <w:t xml:space="preserve">n hành </w:t>
      </w:r>
      <w:r w:rsidRPr="00BE290D">
        <w:rPr>
          <w:rFonts w:ascii="Times New Roman" w:hAnsi="Times New Roman" w:cs="Times New Roman"/>
          <w:sz w:val="26"/>
          <w:szCs w:val="26"/>
        </w:rPr>
        <w:t>việc kiểm phiếu, Tổ trưởng Tổ lấy ý kiến cử tri mời 02 cử tri (là người biết chữ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Pr="00BE290D">
        <w:rPr>
          <w:rFonts w:ascii="Times New Roman" w:hAnsi="Times New Roman" w:cs="Times New Roman"/>
          <w:sz w:val="26"/>
          <w:szCs w:val="26"/>
        </w:rPr>
        <w:t>có uy tín trong Nhân dân để chứng kiến việc kiểm kê sử dụng phiếu và kiểm phiếu.</w:t>
      </w:r>
    </w:p>
    <w:p w:rsidR="00BE290D" w:rsidRP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E290D">
        <w:rPr>
          <w:rFonts w:ascii="Times New Roman" w:hAnsi="Times New Roman" w:cs="Times New Roman"/>
          <w:sz w:val="26"/>
          <w:szCs w:val="26"/>
        </w:rPr>
        <w:t>- Tổ lấy ý kiến cử tri tiến hành kiểm kê sử dụng phiếu, gồm các nộ</w:t>
      </w:r>
      <w:r>
        <w:rPr>
          <w:rFonts w:ascii="Times New Roman" w:hAnsi="Times New Roman" w:cs="Times New Roman"/>
          <w:sz w:val="26"/>
          <w:szCs w:val="26"/>
        </w:rPr>
        <w:t xml:space="preserve">i dung </w:t>
      </w:r>
      <w:r w:rsidRPr="00BE290D">
        <w:rPr>
          <w:rFonts w:ascii="Times New Roman" w:hAnsi="Times New Roman" w:cs="Times New Roman"/>
          <w:sz w:val="26"/>
          <w:szCs w:val="26"/>
        </w:rPr>
        <w:t>sau: Số phiếu nhận về; số phiếu phát ra (bằng số cử tri đã xác nhận); số phiế</w:t>
      </w:r>
      <w:r>
        <w:rPr>
          <w:rFonts w:ascii="Times New Roman" w:hAnsi="Times New Roman" w:cs="Times New Roman"/>
          <w:sz w:val="26"/>
          <w:szCs w:val="26"/>
        </w:rPr>
        <w:t xml:space="preserve">u </w:t>
      </w:r>
      <w:r w:rsidRPr="00BE290D">
        <w:rPr>
          <w:rFonts w:ascii="Times New Roman" w:hAnsi="Times New Roman" w:cs="Times New Roman"/>
          <w:sz w:val="26"/>
          <w:szCs w:val="26"/>
        </w:rPr>
        <w:t>hỏng; số phiếu chưa sử dụng.</w:t>
      </w:r>
    </w:p>
    <w:p w:rsidR="00BE290D" w:rsidRP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E290D">
        <w:rPr>
          <w:rFonts w:ascii="Times New Roman" w:hAnsi="Times New Roman" w:cs="Times New Roman"/>
          <w:sz w:val="26"/>
          <w:szCs w:val="26"/>
        </w:rPr>
        <w:t>- Tổ lấy ý kiến cử tri thực hiện kiểm phiếu, gồm nội dung sau: tổng số cử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90D">
        <w:rPr>
          <w:rFonts w:ascii="Times New Roman" w:hAnsi="Times New Roman" w:cs="Times New Roman"/>
          <w:sz w:val="26"/>
          <w:szCs w:val="26"/>
        </w:rPr>
        <w:t>tri của thôn (bằng số cử tri ghi trong danh sách cử tri); số lượng cử</w:t>
      </w:r>
      <w:r>
        <w:rPr>
          <w:rFonts w:ascii="Times New Roman" w:hAnsi="Times New Roman" w:cs="Times New Roman"/>
          <w:sz w:val="26"/>
          <w:szCs w:val="26"/>
        </w:rPr>
        <w:t xml:space="preserve"> tri tham gia </w:t>
      </w:r>
      <w:r w:rsidRPr="00BE290D">
        <w:rPr>
          <w:rFonts w:ascii="Times New Roman" w:hAnsi="Times New Roman" w:cs="Times New Roman"/>
          <w:sz w:val="26"/>
          <w:szCs w:val="26"/>
        </w:rPr>
        <w:t>(bằng số cử tri đã cho ý kiến); số lượng phiếu thu vào, tính tỷ lệ số phiế</w:t>
      </w:r>
      <w:r>
        <w:rPr>
          <w:rFonts w:ascii="Times New Roman" w:hAnsi="Times New Roman" w:cs="Times New Roman"/>
          <w:sz w:val="26"/>
          <w:szCs w:val="26"/>
        </w:rPr>
        <w:t xml:space="preserve">u thu vào </w:t>
      </w:r>
      <w:r w:rsidRPr="00BE290D">
        <w:rPr>
          <w:rFonts w:ascii="Times New Roman" w:hAnsi="Times New Roman" w:cs="Times New Roman"/>
          <w:sz w:val="26"/>
          <w:szCs w:val="26"/>
        </w:rPr>
        <w:t>trên số phiếu phát ra; xác định số lượng phiếu hợp lệ, phiếu không hợp lệ; tính tỷ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90D">
        <w:rPr>
          <w:rFonts w:ascii="Times New Roman" w:hAnsi="Times New Roman" w:cs="Times New Roman"/>
          <w:sz w:val="26"/>
          <w:szCs w:val="26"/>
        </w:rPr>
        <w:t>lệ số phiếu hợp lệ, không hợp lệ trên số lượng phiếu thu vào.</w:t>
      </w:r>
    </w:p>
    <w:p w:rsid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E290D">
        <w:rPr>
          <w:rFonts w:ascii="Times New Roman" w:hAnsi="Times New Roman" w:cs="Times New Roman"/>
          <w:sz w:val="26"/>
          <w:szCs w:val="26"/>
        </w:rPr>
        <w:t>- Xác định số lượng phiếu đồng ý, không đồng ý, tính tỷ lệ số phiếu đồ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 w:rsidRPr="00BE290D">
        <w:rPr>
          <w:rFonts w:ascii="Times New Roman" w:hAnsi="Times New Roman" w:cs="Times New Roman"/>
          <w:sz w:val="26"/>
          <w:szCs w:val="26"/>
        </w:rPr>
        <w:t>ý, không đồng ý trên tổng số cử tri của thôn; xác định số lượng phiếu có ý kiế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 w:rsidRPr="00BE290D">
        <w:rPr>
          <w:rFonts w:ascii="Times New Roman" w:hAnsi="Times New Roman" w:cs="Times New Roman"/>
          <w:sz w:val="26"/>
          <w:szCs w:val="26"/>
        </w:rPr>
        <w:t>khác, tính tỷ lệ trên tổng số cử tri của thôn; tổng hợp nhóm các ý kiến khác đượ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w:r w:rsidRPr="00BE290D">
        <w:rPr>
          <w:rFonts w:ascii="Times New Roman" w:hAnsi="Times New Roman" w:cs="Times New Roman"/>
          <w:sz w:val="26"/>
          <w:szCs w:val="26"/>
        </w:rPr>
        <w:t>cử tri ghi tại dòng “ý kiến khác” trên phiếu. Tổ lấy ý kiến cử tri tiến hành kiể</w:t>
      </w:r>
      <w:r>
        <w:rPr>
          <w:rFonts w:ascii="Times New Roman" w:hAnsi="Times New Roman" w:cs="Times New Roman"/>
          <w:sz w:val="26"/>
          <w:szCs w:val="26"/>
        </w:rPr>
        <w:t xml:space="preserve">m </w:t>
      </w:r>
      <w:r w:rsidRPr="00BE290D">
        <w:rPr>
          <w:rFonts w:ascii="Times New Roman" w:hAnsi="Times New Roman" w:cs="Times New Roman"/>
          <w:sz w:val="26"/>
          <w:szCs w:val="26"/>
        </w:rPr>
        <w:t>phiếu đảm bảo chính xác, đúng quy định của pháp luật và hướng dẫn của cấ</w:t>
      </w:r>
      <w:r>
        <w:rPr>
          <w:rFonts w:ascii="Times New Roman" w:hAnsi="Times New Roman" w:cs="Times New Roman"/>
          <w:sz w:val="26"/>
          <w:szCs w:val="26"/>
        </w:rPr>
        <w:t xml:space="preserve">p trên, </w:t>
      </w:r>
      <w:r w:rsidRPr="00BE290D">
        <w:rPr>
          <w:rFonts w:ascii="Times New Roman" w:hAnsi="Times New Roman" w:cs="Times New Roman"/>
          <w:sz w:val="26"/>
          <w:szCs w:val="26"/>
        </w:rPr>
        <w:t>lập Biên bản kiểm phiếu theo từng nội dung trong Phiếu lấy ý kiến cử</w:t>
      </w:r>
      <w:r>
        <w:rPr>
          <w:rFonts w:ascii="Times New Roman" w:hAnsi="Times New Roman" w:cs="Times New Roman"/>
          <w:sz w:val="26"/>
          <w:szCs w:val="26"/>
        </w:rPr>
        <w:t xml:space="preserve"> tri.</w:t>
      </w:r>
    </w:p>
    <w:p w:rsidR="00BE290D" w:rsidRP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E290D">
        <w:rPr>
          <w:rFonts w:ascii="Times New Roman" w:hAnsi="Times New Roman" w:cs="Times New Roman"/>
          <w:sz w:val="26"/>
          <w:szCs w:val="26"/>
        </w:rPr>
        <w:t>- Sau khi lập Biên bản kiểm phiếu, tiến hành tổng hợp kết quả lấy ý kiến cử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90D">
        <w:rPr>
          <w:rFonts w:ascii="Times New Roman" w:hAnsi="Times New Roman" w:cs="Times New Roman"/>
          <w:sz w:val="26"/>
          <w:szCs w:val="26"/>
        </w:rPr>
        <w:t>tri theo từng nội dung trong Phiếu lấy ý kiến cử tri.</w:t>
      </w:r>
    </w:p>
    <w:p w:rsidR="00BE290D" w:rsidRP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E290D">
        <w:rPr>
          <w:rFonts w:ascii="Times New Roman" w:hAnsi="Times New Roman" w:cs="Times New Roman"/>
          <w:sz w:val="26"/>
          <w:szCs w:val="26"/>
        </w:rPr>
        <w:t>- Niêm phong phiếu: Sau khi hoàn thành việc kiểm phiếu, Tổ lấy ý kiến cử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90D">
        <w:rPr>
          <w:rFonts w:ascii="Times New Roman" w:hAnsi="Times New Roman" w:cs="Times New Roman"/>
          <w:sz w:val="26"/>
          <w:szCs w:val="26"/>
        </w:rPr>
        <w:t>tri có trách nhiệm niêm phong toàn bộ phiếu hợp lệ, không hợp lệ, phiếu hỏng,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90D">
        <w:rPr>
          <w:rFonts w:ascii="Times New Roman" w:hAnsi="Times New Roman" w:cs="Times New Roman"/>
          <w:sz w:val="26"/>
          <w:szCs w:val="26"/>
        </w:rPr>
        <w:t xml:space="preserve">phiếu chưa sử dụng </w:t>
      </w:r>
      <w:r w:rsidRPr="00BE290D">
        <w:rPr>
          <w:rFonts w:ascii="Times New Roman" w:hAnsi="Times New Roman" w:cs="Times New Roman"/>
          <w:sz w:val="26"/>
          <w:szCs w:val="26"/>
        </w:rPr>
        <w:lastRenderedPageBreak/>
        <w:t>bàn giao cho Ủy ban nhân dân xã. Ủ</w:t>
      </w:r>
      <w:r>
        <w:rPr>
          <w:rFonts w:ascii="Times New Roman" w:hAnsi="Times New Roman" w:cs="Times New Roman"/>
          <w:sz w:val="26"/>
          <w:szCs w:val="26"/>
        </w:rPr>
        <w:t xml:space="preserve">y ban nhân dân xã có </w:t>
      </w:r>
      <w:r w:rsidRPr="00BE290D">
        <w:rPr>
          <w:rFonts w:ascii="Times New Roman" w:hAnsi="Times New Roman" w:cs="Times New Roman"/>
          <w:sz w:val="26"/>
          <w:szCs w:val="26"/>
        </w:rPr>
        <w:t>trách nhiệm lưu trữ phiếu được niêm phong theo quy định của pháp luật về</w:t>
      </w:r>
      <w:r>
        <w:rPr>
          <w:rFonts w:ascii="Times New Roman" w:hAnsi="Times New Roman" w:cs="Times New Roman"/>
          <w:sz w:val="26"/>
          <w:szCs w:val="26"/>
        </w:rPr>
        <w:t xml:space="preserve"> lưu </w:t>
      </w:r>
      <w:r w:rsidRPr="00BE290D">
        <w:rPr>
          <w:rFonts w:ascii="Times New Roman" w:hAnsi="Times New Roman" w:cs="Times New Roman"/>
          <w:sz w:val="26"/>
          <w:szCs w:val="26"/>
        </w:rPr>
        <w:t>trữ.</w:t>
      </w:r>
    </w:p>
    <w:p w:rsidR="00BE290D" w:rsidRP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E290D">
        <w:rPr>
          <w:rFonts w:ascii="Times New Roman" w:hAnsi="Times New Roman" w:cs="Times New Roman"/>
          <w:sz w:val="26"/>
          <w:szCs w:val="26"/>
        </w:rPr>
        <w:t>- Tuân thủ các quy định của pháp luật trong việc kiểm phiếu; chủ độ</w:t>
      </w:r>
      <w:r>
        <w:rPr>
          <w:rFonts w:ascii="Times New Roman" w:hAnsi="Times New Roman" w:cs="Times New Roman"/>
          <w:sz w:val="26"/>
          <w:szCs w:val="26"/>
        </w:rPr>
        <w:t xml:space="preserve">ng đưa </w:t>
      </w:r>
      <w:r w:rsidRPr="00BE290D">
        <w:rPr>
          <w:rFonts w:ascii="Times New Roman" w:hAnsi="Times New Roman" w:cs="Times New Roman"/>
          <w:sz w:val="26"/>
          <w:szCs w:val="26"/>
        </w:rPr>
        <w:t>ra các cách thức, công cụ, phương tiện trong việc thực hiện kiểm phiếu; tham vấ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 w:rsidRPr="00BE290D">
        <w:rPr>
          <w:rFonts w:ascii="Times New Roman" w:hAnsi="Times New Roman" w:cs="Times New Roman"/>
          <w:sz w:val="26"/>
          <w:szCs w:val="26"/>
        </w:rPr>
        <w:t>ý kiến Ủy ban nhân dân xã về các vấn đề phát sinh trong quá trình kiểm phiếu.</w:t>
      </w:r>
    </w:p>
    <w:p w:rsidR="00BE290D" w:rsidRP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E290D">
        <w:rPr>
          <w:rFonts w:ascii="Times New Roman" w:hAnsi="Times New Roman" w:cs="Times New Roman"/>
          <w:b/>
          <w:sz w:val="26"/>
          <w:szCs w:val="26"/>
        </w:rPr>
        <w:t>Điều 3:</w:t>
      </w:r>
      <w:r w:rsidRPr="00BE290D">
        <w:rPr>
          <w:rFonts w:ascii="Times New Roman" w:hAnsi="Times New Roman" w:cs="Times New Roman"/>
          <w:sz w:val="26"/>
          <w:szCs w:val="26"/>
        </w:rPr>
        <w:t xml:space="preserve"> Các ông (bà) Công chức Văn phòng - Thố</w:t>
      </w:r>
      <w:r>
        <w:rPr>
          <w:rFonts w:ascii="Times New Roman" w:hAnsi="Times New Roman" w:cs="Times New Roman"/>
          <w:sz w:val="26"/>
          <w:szCs w:val="26"/>
        </w:rPr>
        <w:t xml:space="preserve">ng kê, các cá nhân có </w:t>
      </w:r>
      <w:r w:rsidRPr="00BE290D">
        <w:rPr>
          <w:rFonts w:ascii="Times New Roman" w:hAnsi="Times New Roman" w:cs="Times New Roman"/>
          <w:sz w:val="26"/>
          <w:szCs w:val="26"/>
        </w:rPr>
        <w:t>liên quan và các ông, bà có tên tại Điều 1 chịu trách nhiệm thực hiện Quyết đị</w:t>
      </w:r>
      <w:r>
        <w:rPr>
          <w:rFonts w:ascii="Times New Roman" w:hAnsi="Times New Roman" w:cs="Times New Roman"/>
          <w:sz w:val="26"/>
          <w:szCs w:val="26"/>
        </w:rPr>
        <w:t xml:space="preserve">nh </w:t>
      </w:r>
      <w:r w:rsidRPr="00BE290D">
        <w:rPr>
          <w:rFonts w:ascii="Times New Roman" w:hAnsi="Times New Roman" w:cs="Times New Roman"/>
          <w:sz w:val="26"/>
          <w:szCs w:val="26"/>
        </w:rPr>
        <w:t>này.</w:t>
      </w:r>
    </w:p>
    <w:p w:rsid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BE290D">
        <w:rPr>
          <w:rFonts w:ascii="Times New Roman" w:hAnsi="Times New Roman" w:cs="Times New Roman"/>
          <w:sz w:val="26"/>
          <w:szCs w:val="26"/>
        </w:rPr>
        <w:t>Quyết định này có hiệu lực kể từ ngày ký./.</w:t>
      </w:r>
    </w:p>
    <w:p w:rsidR="00BE290D" w:rsidRP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BE290D" w:rsidRP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E290D">
        <w:rPr>
          <w:rFonts w:ascii="Times New Roman" w:hAnsi="Times New Roman" w:cs="Times New Roman"/>
          <w:b/>
          <w:sz w:val="26"/>
          <w:szCs w:val="26"/>
        </w:rPr>
        <w:t>Nơi nhận: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E290D">
        <w:rPr>
          <w:rFonts w:ascii="Times New Roman" w:hAnsi="Times New Roman" w:cs="Times New Roman"/>
          <w:b/>
          <w:sz w:val="26"/>
          <w:szCs w:val="26"/>
        </w:rPr>
        <w:t>CHỦ TỊCH</w:t>
      </w:r>
    </w:p>
    <w:p w:rsidR="00BE290D" w:rsidRP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E290D">
        <w:rPr>
          <w:rFonts w:ascii="Times New Roman" w:hAnsi="Times New Roman" w:cs="Times New Roman"/>
          <w:b/>
          <w:sz w:val="26"/>
          <w:szCs w:val="26"/>
        </w:rPr>
        <w:t>- Như Điều 3;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E290D" w:rsidRP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E290D">
        <w:rPr>
          <w:rFonts w:ascii="Times New Roman" w:hAnsi="Times New Roman" w:cs="Times New Roman"/>
          <w:b/>
          <w:sz w:val="26"/>
          <w:szCs w:val="26"/>
        </w:rPr>
        <w:t>- Lưu: VT.</w:t>
      </w:r>
    </w:p>
    <w:p w:rsidR="00BE290D" w:rsidRPr="00BE290D" w:rsidRDefault="00BE290D" w:rsidP="00BE290D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sectPr w:rsidR="00BE290D" w:rsidRPr="00BE29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1E"/>
    <w:rsid w:val="008C4B1E"/>
    <w:rsid w:val="008E61FF"/>
    <w:rsid w:val="00BE290D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2B3F41D-897C-445F-8A97-30BF773C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2025-04-21T07:19:00Z</dcterms:created>
  <dcterms:modified xsi:type="dcterms:W3CDTF">2025-04-21T07:43:00Z</dcterms:modified>
</cp:coreProperties>
</file>