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F8" w:rsidRPr="006F15F8" w:rsidRDefault="006F15F8" w:rsidP="006F15F8">
      <w:pPr>
        <w:shd w:val="clear" w:color="auto" w:fill="FFFFFF"/>
        <w:spacing w:before="0" w:line="180" w:lineRule="atLeast"/>
        <w:jc w:val="center"/>
        <w:rPr>
          <w:rFonts w:ascii="Arial" w:eastAsia="Times New Roman" w:hAnsi="Arial" w:cs="Arial"/>
          <w:color w:val="000000"/>
          <w:sz w:val="14"/>
          <w:szCs w:val="14"/>
        </w:rPr>
      </w:pPr>
      <w:bookmarkStart w:id="0" w:name="chuong_pl"/>
      <w:r w:rsidRPr="006F15F8">
        <w:rPr>
          <w:rFonts w:ascii="Arial" w:eastAsia="Times New Roman" w:hAnsi="Arial" w:cs="Arial"/>
          <w:b/>
          <w:bCs/>
          <w:color w:val="000000"/>
          <w:sz w:val="14"/>
          <w:szCs w:val="14"/>
        </w:rPr>
        <w:t>PHỤ LỤC</w:t>
      </w:r>
      <w:bookmarkEnd w:id="0"/>
    </w:p>
    <w:p w:rsidR="006F15F8" w:rsidRPr="006F15F8" w:rsidRDefault="006F15F8" w:rsidP="006F15F8">
      <w:pPr>
        <w:shd w:val="clear" w:color="auto" w:fill="FFFFFF"/>
        <w:spacing w:after="120" w:line="180" w:lineRule="atLeast"/>
        <w:jc w:val="center"/>
        <w:rPr>
          <w:rFonts w:ascii="Arial" w:eastAsia="Times New Roman" w:hAnsi="Arial" w:cs="Arial"/>
          <w:color w:val="000000"/>
          <w:sz w:val="14"/>
          <w:szCs w:val="14"/>
        </w:rPr>
      </w:pPr>
      <w:r w:rsidRPr="006F15F8">
        <w:rPr>
          <w:rFonts w:ascii="Arial" w:eastAsia="Times New Roman" w:hAnsi="Arial" w:cs="Arial"/>
          <w:i/>
          <w:iCs/>
          <w:color w:val="000000"/>
          <w:sz w:val="14"/>
          <w:szCs w:val="14"/>
        </w:rPr>
        <w:t>(Ban hành kèm theo Thông tư số 25/2024/TT-NHNN ngày 28/06/2024 của Thống đốc Ngân hàng Nhà nước Việt Nam quy định điều kiện, hồ sơ, trình tự và thủ tục chấp thuận việc góp vốn, mua cổ phần của tổ chức tín dụng)</w:t>
      </w:r>
    </w:p>
    <w:tbl>
      <w:tblPr>
        <w:tblW w:w="5000" w:type="pct"/>
        <w:tblCellSpacing w:w="0" w:type="dxa"/>
        <w:shd w:val="clear" w:color="auto" w:fill="FFFFFF"/>
        <w:tblCellMar>
          <w:left w:w="0" w:type="dxa"/>
          <w:right w:w="0" w:type="dxa"/>
        </w:tblCellMar>
        <w:tblLook w:val="04A0"/>
      </w:tblPr>
      <w:tblGrid>
        <w:gridCol w:w="3580"/>
        <w:gridCol w:w="5996"/>
      </w:tblGrid>
      <w:tr w:rsidR="006F15F8" w:rsidRPr="006F15F8" w:rsidTr="006F15F8">
        <w:trPr>
          <w:tblCellSpacing w:w="0" w:type="dxa"/>
        </w:trPr>
        <w:tc>
          <w:tcPr>
            <w:tcW w:w="1850" w:type="pct"/>
            <w:shd w:val="clear" w:color="auto" w:fill="FFFFFF"/>
            <w:tcMar>
              <w:top w:w="0" w:type="dxa"/>
              <w:left w:w="108" w:type="dxa"/>
              <w:bottom w:w="0" w:type="dxa"/>
              <w:right w:w="108" w:type="dxa"/>
            </w:tcMar>
            <w:hideMark/>
          </w:tcPr>
          <w:p w:rsidR="006F15F8" w:rsidRPr="006F15F8" w:rsidRDefault="006F15F8" w:rsidP="006F15F8">
            <w:pPr>
              <w:spacing w:after="120" w:line="180" w:lineRule="atLeast"/>
              <w:jc w:val="center"/>
              <w:rPr>
                <w:rFonts w:ascii="Arial" w:eastAsia="Times New Roman" w:hAnsi="Arial" w:cs="Arial"/>
                <w:color w:val="000000"/>
                <w:sz w:val="14"/>
                <w:szCs w:val="14"/>
              </w:rPr>
            </w:pPr>
            <w:r w:rsidRPr="006F15F8">
              <w:rPr>
                <w:rFonts w:ascii="Arial" w:eastAsia="Times New Roman" w:hAnsi="Arial" w:cs="Arial"/>
                <w:b/>
                <w:bCs/>
                <w:color w:val="000000"/>
                <w:sz w:val="14"/>
                <w:szCs w:val="14"/>
              </w:rPr>
              <w:t>Tên của TCTD</w:t>
            </w:r>
            <w:r w:rsidRPr="006F15F8">
              <w:rPr>
                <w:rFonts w:ascii="Arial" w:eastAsia="Times New Roman" w:hAnsi="Arial" w:cs="Arial"/>
                <w:b/>
                <w:bCs/>
                <w:color w:val="000000"/>
                <w:sz w:val="14"/>
                <w:szCs w:val="14"/>
              </w:rPr>
              <w:br/>
              <w:t>-------</w:t>
            </w:r>
          </w:p>
        </w:tc>
        <w:tc>
          <w:tcPr>
            <w:tcW w:w="3100" w:type="pct"/>
            <w:shd w:val="clear" w:color="auto" w:fill="FFFFFF"/>
            <w:tcMar>
              <w:top w:w="0" w:type="dxa"/>
              <w:left w:w="108" w:type="dxa"/>
              <w:bottom w:w="0" w:type="dxa"/>
              <w:right w:w="108" w:type="dxa"/>
            </w:tcMar>
            <w:hideMark/>
          </w:tcPr>
          <w:p w:rsidR="006F15F8" w:rsidRPr="006F15F8" w:rsidRDefault="006F15F8" w:rsidP="006F15F8">
            <w:pPr>
              <w:spacing w:after="120" w:line="180" w:lineRule="atLeast"/>
              <w:jc w:val="center"/>
              <w:rPr>
                <w:rFonts w:ascii="Arial" w:eastAsia="Times New Roman" w:hAnsi="Arial" w:cs="Arial"/>
                <w:color w:val="000000"/>
                <w:sz w:val="14"/>
                <w:szCs w:val="14"/>
              </w:rPr>
            </w:pPr>
            <w:r w:rsidRPr="006F15F8">
              <w:rPr>
                <w:rFonts w:ascii="Arial" w:eastAsia="Times New Roman" w:hAnsi="Arial" w:cs="Arial"/>
                <w:b/>
                <w:bCs/>
                <w:color w:val="000000"/>
                <w:sz w:val="14"/>
                <w:szCs w:val="14"/>
              </w:rPr>
              <w:t>CỘNG HÒA XÃ HỘI CHỦ NGHĨA VIỆT NAM</w:t>
            </w:r>
            <w:r w:rsidRPr="006F15F8">
              <w:rPr>
                <w:rFonts w:ascii="Arial" w:eastAsia="Times New Roman" w:hAnsi="Arial" w:cs="Arial"/>
                <w:b/>
                <w:bCs/>
                <w:color w:val="000000"/>
                <w:sz w:val="14"/>
                <w:szCs w:val="14"/>
              </w:rPr>
              <w:br/>
              <w:t>Độc lập - Tự do - Hạnh phúc</w:t>
            </w:r>
            <w:r w:rsidRPr="006F15F8">
              <w:rPr>
                <w:rFonts w:ascii="Arial" w:eastAsia="Times New Roman" w:hAnsi="Arial" w:cs="Arial"/>
                <w:b/>
                <w:bCs/>
                <w:color w:val="000000"/>
                <w:sz w:val="14"/>
                <w:szCs w:val="14"/>
              </w:rPr>
              <w:br/>
              <w:t>---------------</w:t>
            </w:r>
          </w:p>
        </w:tc>
      </w:tr>
      <w:tr w:rsidR="006F15F8" w:rsidRPr="006F15F8" w:rsidTr="006F15F8">
        <w:trPr>
          <w:tblCellSpacing w:w="0" w:type="dxa"/>
        </w:trPr>
        <w:tc>
          <w:tcPr>
            <w:tcW w:w="1850" w:type="pct"/>
            <w:shd w:val="clear" w:color="auto" w:fill="FFFFFF"/>
            <w:tcMar>
              <w:top w:w="0" w:type="dxa"/>
              <w:left w:w="108" w:type="dxa"/>
              <w:bottom w:w="0" w:type="dxa"/>
              <w:right w:w="108" w:type="dxa"/>
            </w:tcMar>
            <w:hideMark/>
          </w:tcPr>
          <w:p w:rsidR="006F15F8" w:rsidRPr="006F15F8" w:rsidRDefault="006F15F8" w:rsidP="006F15F8">
            <w:pPr>
              <w:spacing w:before="0" w:line="240" w:lineRule="auto"/>
              <w:jc w:val="left"/>
              <w:rPr>
                <w:rFonts w:ascii="Arial" w:eastAsia="Times New Roman" w:hAnsi="Arial" w:cs="Arial"/>
                <w:color w:val="000000"/>
                <w:sz w:val="14"/>
                <w:szCs w:val="14"/>
              </w:rPr>
            </w:pPr>
          </w:p>
        </w:tc>
        <w:tc>
          <w:tcPr>
            <w:tcW w:w="3100" w:type="pct"/>
            <w:shd w:val="clear" w:color="auto" w:fill="FFFFFF"/>
            <w:tcMar>
              <w:top w:w="0" w:type="dxa"/>
              <w:left w:w="108" w:type="dxa"/>
              <w:bottom w:w="0" w:type="dxa"/>
              <w:right w:w="108" w:type="dxa"/>
            </w:tcMar>
            <w:hideMark/>
          </w:tcPr>
          <w:p w:rsidR="006F15F8" w:rsidRPr="006F15F8" w:rsidRDefault="006F15F8" w:rsidP="006F15F8">
            <w:pPr>
              <w:spacing w:after="120" w:line="180" w:lineRule="atLeast"/>
              <w:jc w:val="right"/>
              <w:rPr>
                <w:rFonts w:ascii="Arial" w:eastAsia="Times New Roman" w:hAnsi="Arial" w:cs="Arial"/>
                <w:color w:val="000000"/>
                <w:sz w:val="14"/>
                <w:szCs w:val="14"/>
              </w:rPr>
            </w:pPr>
            <w:r w:rsidRPr="006F15F8">
              <w:rPr>
                <w:rFonts w:ascii="Arial" w:eastAsia="Times New Roman" w:hAnsi="Arial" w:cs="Arial"/>
                <w:i/>
                <w:iCs/>
                <w:color w:val="000000"/>
                <w:sz w:val="14"/>
                <w:szCs w:val="14"/>
              </w:rPr>
              <w:t>….., ngày …. tháng … năm ….</w:t>
            </w:r>
          </w:p>
        </w:tc>
      </w:tr>
    </w:tbl>
    <w:p w:rsidR="006F15F8" w:rsidRPr="006F15F8" w:rsidRDefault="006F15F8" w:rsidP="006F15F8">
      <w:pPr>
        <w:shd w:val="clear" w:color="auto" w:fill="FFFFFF"/>
        <w:spacing w:before="0" w:line="180" w:lineRule="atLeast"/>
        <w:jc w:val="center"/>
        <w:rPr>
          <w:rFonts w:ascii="Arial" w:eastAsia="Times New Roman" w:hAnsi="Arial" w:cs="Arial"/>
          <w:color w:val="000000"/>
          <w:sz w:val="14"/>
          <w:szCs w:val="14"/>
        </w:rPr>
      </w:pPr>
      <w:bookmarkStart w:id="1" w:name="chuong_pl_name"/>
      <w:r w:rsidRPr="006F15F8">
        <w:rPr>
          <w:rFonts w:ascii="Arial" w:eastAsia="Times New Roman" w:hAnsi="Arial" w:cs="Arial"/>
          <w:b/>
          <w:bCs/>
          <w:color w:val="000000"/>
          <w:sz w:val="14"/>
          <w:szCs w:val="14"/>
        </w:rPr>
        <w:t>VĂN BẢN ĐỀ NGHỊ CHẤP THUẬN VIỆC GÓP VỐN, MUA CỔ PHẦN</w:t>
      </w:r>
      <w:bookmarkEnd w:id="1"/>
    </w:p>
    <w:p w:rsidR="006F15F8" w:rsidRPr="006F15F8" w:rsidRDefault="006F15F8" w:rsidP="006F15F8">
      <w:pPr>
        <w:shd w:val="clear" w:color="auto" w:fill="FFFFFF"/>
        <w:spacing w:after="120" w:line="180" w:lineRule="atLeast"/>
        <w:jc w:val="center"/>
        <w:rPr>
          <w:rFonts w:ascii="Arial" w:eastAsia="Times New Roman" w:hAnsi="Arial" w:cs="Arial"/>
          <w:color w:val="000000"/>
          <w:sz w:val="14"/>
          <w:szCs w:val="14"/>
        </w:rPr>
      </w:pPr>
      <w:r w:rsidRPr="006F15F8">
        <w:rPr>
          <w:rFonts w:ascii="Arial" w:eastAsia="Times New Roman" w:hAnsi="Arial" w:cs="Arial"/>
          <w:color w:val="000000"/>
          <w:sz w:val="14"/>
          <w:szCs w:val="14"/>
        </w:rPr>
        <w:t>Kính gửi: Ngân hàng Nhà nước Việt Nam</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Căn cứ Thông tư số /2024/TT-NHNN ngày / /2024 của Thống đốc Ngân hàng Nhà nước quy định điều kiện, hồ sơ, trình tự và thủ tục chấp thuận việc góp vốn, mua cổ phần của tổ chức tín dụng, tổ chức tín dụng (nêu rõ tên) đề nghị Thống đốc Ngân hàng Nhà nước chấp thuận việc góp vốn, mua cổ phần như sau:</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1. Thông tin chung về công ty con, công ty liên kết được thành lập, mua lại hoặc doanh nghiệp nhận vốn góp, vốn cổ phần, nhận chuyển nợ thành vốn góp, vốn cổ phần:</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a) Tên đầy đủ bằng tiếng Việt; tên đầy đủ bằng tiếng nước ngoài (nếu có); tên viết tắt (nếu có);</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b) Địa chỉ hiện nay (đối với trường hợp mua lại công ty con, công ty liên kết hoặc góp vốn, mua cổ phần, chuyển nợ thành vốn góp, vốn cổ phần vào doanh nghiệp khác) hoặc địa chỉ dự kiến (đối với trường hợp thành lập công ty con, công ty liên kết);</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c) Mức vốn điều lệ (đối với trường hợp mua lại công ty con, công ty liên kết hoặc góp vốn, mua cổ phần, chuyển nợ thành vốn góp, vốn cổ phần vào doanh nghiệp khác) hoặc mức vốn điều lệ dự kiến (đối với trường hợp thành lập công ty con, công ty liên kết);</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d) Nội dung hoạt động (đối với trường hợp mua lại công ty con, công ty liên kết hoặc góp vốn, mua cổ phần, chuyển nợ thành vốn góp, vốn cổ phần vào doanh nghiệp khác) hoặc nội dung hoạt động dự kiến (đối với trường hợp thành lập công ty con, công ty liên kết);</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đ) Thời hạn hoạt động (đối với trường hợp mua lại công ty con, công ty liên kết hoặc góp vốn, mua cổ phần, chuyển nợ thành vốn góp, vốn cổ phần vào doanh nghiệp khác) hoặc thời hạn hoạt động dự kiến (đối với trường hợp thành lập công ty con, công ty liên kết).</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2. Tổ chức tín dụng (nêu rõ tên) cam kết;</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 Các thông tin cung cấp trong hồ sơ đề nghị chấp thuận việc góp vốn, mua cổ phần là chính xác, trung thực;</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 Đáp ứng các điều kiện để được thực hiện góp vốn, mua cổ phần, chuyển nợ thành vốn góp theo quy định tại Thông tư này;</w:t>
      </w:r>
    </w:p>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color w:val="000000"/>
          <w:sz w:val="14"/>
          <w:szCs w:val="14"/>
        </w:rPr>
        <w:t>- Khoản nợ được chuyển thành vốn góp, vốn cổ phần là khoản nợ xấu và việc chuyển nợ thành vốn góp, vốn cổ phần là để xử lý nợ xấu (đối với trường hợp chuyển nợ thành vốn góp, vốn cổ phần để xử lý nợ xấu).</w:t>
      </w:r>
    </w:p>
    <w:tbl>
      <w:tblPr>
        <w:tblW w:w="0" w:type="auto"/>
        <w:tblCellSpacing w:w="0" w:type="dxa"/>
        <w:shd w:val="clear" w:color="auto" w:fill="FFFFFF"/>
        <w:tblCellMar>
          <w:left w:w="0" w:type="dxa"/>
          <w:right w:w="0" w:type="dxa"/>
        </w:tblCellMar>
        <w:tblLook w:val="04A0"/>
      </w:tblPr>
      <w:tblGrid>
        <w:gridCol w:w="4428"/>
        <w:gridCol w:w="4428"/>
      </w:tblGrid>
      <w:tr w:rsidR="006F15F8" w:rsidRPr="006F15F8" w:rsidTr="006F15F8">
        <w:trPr>
          <w:tblCellSpacing w:w="0" w:type="dxa"/>
        </w:trPr>
        <w:tc>
          <w:tcPr>
            <w:tcW w:w="4428" w:type="dxa"/>
            <w:shd w:val="clear" w:color="auto" w:fill="FFFFFF"/>
            <w:tcMar>
              <w:top w:w="0" w:type="dxa"/>
              <w:left w:w="108" w:type="dxa"/>
              <w:bottom w:w="0" w:type="dxa"/>
              <w:right w:w="108" w:type="dxa"/>
            </w:tcMar>
            <w:hideMark/>
          </w:tcPr>
          <w:p w:rsidR="006F15F8" w:rsidRPr="006F15F8" w:rsidRDefault="006F15F8" w:rsidP="006F15F8">
            <w:pPr>
              <w:spacing w:before="0" w:line="240" w:lineRule="auto"/>
              <w:jc w:val="left"/>
              <w:rPr>
                <w:rFonts w:ascii="Arial" w:eastAsia="Times New Roman" w:hAnsi="Arial" w:cs="Arial"/>
                <w:color w:val="000000"/>
                <w:sz w:val="14"/>
                <w:szCs w:val="14"/>
              </w:rPr>
            </w:pPr>
          </w:p>
        </w:tc>
        <w:tc>
          <w:tcPr>
            <w:tcW w:w="4428" w:type="dxa"/>
            <w:shd w:val="clear" w:color="auto" w:fill="FFFFFF"/>
            <w:tcMar>
              <w:top w:w="0" w:type="dxa"/>
              <w:left w:w="108" w:type="dxa"/>
              <w:bottom w:w="0" w:type="dxa"/>
              <w:right w:w="108" w:type="dxa"/>
            </w:tcMar>
            <w:hideMark/>
          </w:tcPr>
          <w:p w:rsidR="006F15F8" w:rsidRPr="006F15F8" w:rsidRDefault="006F15F8" w:rsidP="006F15F8">
            <w:pPr>
              <w:spacing w:after="240" w:line="180" w:lineRule="atLeast"/>
              <w:jc w:val="center"/>
              <w:rPr>
                <w:rFonts w:ascii="Arial" w:eastAsia="Times New Roman" w:hAnsi="Arial" w:cs="Arial"/>
                <w:color w:val="000000"/>
                <w:sz w:val="14"/>
                <w:szCs w:val="14"/>
              </w:rPr>
            </w:pPr>
            <w:r w:rsidRPr="006F15F8">
              <w:rPr>
                <w:rFonts w:ascii="Arial" w:eastAsia="Times New Roman" w:hAnsi="Arial" w:cs="Arial"/>
                <w:b/>
                <w:bCs/>
                <w:color w:val="000000"/>
                <w:sz w:val="14"/>
                <w:szCs w:val="14"/>
              </w:rPr>
              <w:t>ĐẠI DIỆN HỢP PHÁP CỦA TCTD</w:t>
            </w:r>
            <w:r w:rsidRPr="006F15F8">
              <w:rPr>
                <w:rFonts w:ascii="Arial" w:eastAsia="Times New Roman" w:hAnsi="Arial" w:cs="Arial"/>
                <w:b/>
                <w:bCs/>
                <w:color w:val="000000"/>
                <w:sz w:val="14"/>
                <w:szCs w:val="14"/>
              </w:rPr>
              <w:br/>
            </w:r>
            <w:r w:rsidRPr="006F15F8">
              <w:rPr>
                <w:rFonts w:ascii="Arial" w:eastAsia="Times New Roman" w:hAnsi="Arial" w:cs="Arial"/>
                <w:i/>
                <w:iCs/>
                <w:color w:val="000000"/>
                <w:sz w:val="14"/>
                <w:szCs w:val="14"/>
              </w:rPr>
              <w:t>(Ký tên và đóng dấu)</w:t>
            </w:r>
          </w:p>
        </w:tc>
      </w:tr>
    </w:tbl>
    <w:p w:rsidR="006F15F8" w:rsidRPr="006F15F8" w:rsidRDefault="006F15F8" w:rsidP="006F15F8">
      <w:pPr>
        <w:shd w:val="clear" w:color="auto" w:fill="FFFFFF"/>
        <w:spacing w:after="120" w:line="180" w:lineRule="atLeast"/>
        <w:jc w:val="left"/>
        <w:rPr>
          <w:rFonts w:ascii="Arial" w:eastAsia="Times New Roman" w:hAnsi="Arial" w:cs="Arial"/>
          <w:color w:val="000000"/>
          <w:sz w:val="14"/>
          <w:szCs w:val="14"/>
        </w:rPr>
      </w:pPr>
      <w:r w:rsidRPr="006F15F8">
        <w:rPr>
          <w:rFonts w:ascii="Arial" w:eastAsia="Times New Roman" w:hAnsi="Arial" w:cs="Arial"/>
          <w:i/>
          <w:iCs/>
          <w:color w:val="000000"/>
          <w:sz w:val="14"/>
          <w:szCs w:val="14"/>
        </w:rPr>
        <w:t>(Ghi chú: Mẫu văn bản này chỉ quy định những nội dung chủ yếu cần có, ngân hàng thương mại, công ty tài chính tổng hợp, công ty tài chính chuyên ngành có thể bổ sung thêm các nội dung khác nếu thấy cần thiết)</w:t>
      </w:r>
    </w:p>
    <w:p w:rsidR="008A24ED" w:rsidRPr="006F15F8" w:rsidRDefault="008A24ED">
      <w:pPr>
        <w:rPr>
          <w:rFonts w:ascii="Times New Roman" w:hAnsi="Times New Roman" w:cs="Times New Roman"/>
          <w:sz w:val="26"/>
          <w:szCs w:val="26"/>
        </w:rPr>
      </w:pPr>
    </w:p>
    <w:sectPr w:rsidR="008A24ED" w:rsidRPr="006F15F8"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F15F8"/>
    <w:rsid w:val="006F15F8"/>
    <w:rsid w:val="008A24ED"/>
    <w:rsid w:val="0098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08491">
      <w:bodyDiv w:val="1"/>
      <w:marLeft w:val="0"/>
      <w:marRight w:val="0"/>
      <w:marTop w:val="0"/>
      <w:marBottom w:val="0"/>
      <w:divBdr>
        <w:top w:val="none" w:sz="0" w:space="0" w:color="auto"/>
        <w:left w:val="none" w:sz="0" w:space="0" w:color="auto"/>
        <w:bottom w:val="none" w:sz="0" w:space="0" w:color="auto"/>
        <w:right w:val="none" w:sz="0" w:space="0" w:color="auto"/>
      </w:divBdr>
    </w:div>
    <w:div w:id="18904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2024-08-02T01:26:00Z</dcterms:created>
  <dcterms:modified xsi:type="dcterms:W3CDTF">2024-08-02T01:26:00Z</dcterms:modified>
</cp:coreProperties>
</file>