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sz w:val="20"/>
          <w:szCs w:val="28"/>
        </w:rPr>
        <w:t>1. Cấp giấy phép thăm dò nước dưới đất đối với công trình có lưu lượng dưới 3000m</w:t>
      </w:r>
      <w:r w:rsidRPr="0042167A">
        <w:rPr>
          <w:rFonts w:ascii="Arial" w:hAnsi="Arial" w:cs="Arial"/>
          <w:b/>
          <w:bCs/>
          <w:sz w:val="20"/>
          <w:szCs w:val="28"/>
          <w:vertAlign w:val="superscript"/>
        </w:rPr>
        <w:t>3</w:t>
      </w:r>
      <w:r w:rsidRPr="0042167A">
        <w:rPr>
          <w:rFonts w:ascii="Arial" w:hAnsi="Arial" w:cs="Arial"/>
          <w:b/>
          <w:bCs/>
          <w:sz w:val="20"/>
          <w:szCs w:val="28"/>
        </w:rPr>
        <w:t>/ngày đêm</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 Trình tự thực hiện:</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1: Nộp hồ sơ:</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Tổ chức, cá nhân đề nghị cấp phép nộp 01 bộ hồ sơ trực tiếp hoặc qua đường bưu điện hoặc bản điện tử qua hệ thống cổng dịch vụ công trực tuyến và nộp phí thẩm định hồ sơ đến Sở Tài nguyên và Môi trường; trường hợp địa phương đã tổ chức Bộ phận Một cửa hoặc Trung tâm Phục vụ hành chính công thì thực hiện việc tiếp nhận hồ sơ và trả kết quả qua Bộ phận Một cửa hoặc Trung tâm Phục vụ hành chính công theo quyết định của Ủy ban nhân dân cấp tỉnh (sau đây gọi tắt là Bộ phận Một cửa).</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2: Kiểm tra hồ sơ:</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Bộ phận Một cửa có trách nhiệm kiểm tra, xem xét tính đầy đủ, hợp lệ của hồ sơ, tiếp nhận hồ sơ; hướng dẫn bổ sung hồ sơ nếu chưa hợp lệ, chưa đầy đủ; chuyển hồ sơ cho Sở Tài nguyên và Môi trường thẩm định.</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hồ sơ không hợp lệ, Sở Tài nguyên và Môi trường thông báo cho tổ chức, cá nhân đề nghị cấp phép để bổ sung, hoàn thiện hồ sơ theo quy định.</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hồ sơ sau khi đã bổ sung mà vẫn không đáp ứng yêu cầu theo quy định thì Sở Tài nguyên và Môi trường trả lại hồ sơ và thông báo rõ lý do cho tổ chức, cá nhân đề nghị cấp phép.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w:t>
      </w:r>
      <w:r w:rsidRPr="0042167A">
        <w:rPr>
          <w:rFonts w:ascii="Arial" w:hAnsi="Arial" w:cs="Arial"/>
          <w:i/>
          <w:iCs/>
          <w:sz w:val="20"/>
          <w:szCs w:val="28"/>
        </w:rPr>
        <w:t>Bước 3: Thẩm định hồ sơ và quyết định cấp phép: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Kể từ ngày nhận đủ hồ sơ hợp lệ, Sở Tài nguyên và Môi trường có trách nhiệm thẩm định đề án, báo cáo; nếu cần thiết thì kiểm tra thực tế hiện trường, lập hội đồng thẩm định đề án, báo cáo.</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phải bổ sung, chỉnh sửa để hoàn thiện đề án, báo cáo, Sở Tài nguyên và Môi trường gửi văn bản thông báo cho tổ chức, cá nhân đề nghị cấp phép nêu rõ những nội dung cần bổ sung, hoàn thiện.</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đủ điều kiện cấp phép, Sở Tài nguyên và Môi trường thực hiện cấp giấy phép; trường hợp không đủ điều kiện để cấp phép thì trả lại hồ sơ cho tổ chức, cá nhân đề nghị cấp phép và thông báo lý do không cấp phép.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phải lập lại đề án, báo cáo, Sở Tài nguyên và Môi trường gửi văn bản thông báo cho tổ chức, cá nhân đề nghị cấp phép nêu rõ những nội dung đề án, báo cáo chưa đạt yêu cầu, phải làm lại và trả lại hồ sơ đề nghị cấp phép.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Thời gian bổ sung, hoàn thiện đề án, báo cáo không tính vào thời gian thẩm định đề án, báo cáo. Thời gian thẩm định sau khi đề án, báo cáo được bổ sung hoàn chỉnh là 18 ngày làm việc.</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4. Trả kết quả giải quyết hồ sơ cấp phép: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Trong thời hạn 03 ngày làm việc, kể từ ngày nhận được giấy phép, Bộ phận Một cửa thông báo cho tổ chức, cá nhân đề nghị cấp phép để nhận giấy phép.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1.2. Cách thức thực hiện:</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Nộp hồ sơ: </w:t>
      </w:r>
      <w:r w:rsidRPr="0042167A">
        <w:rPr>
          <w:rFonts w:ascii="Arial" w:hAnsi="Arial" w:cs="Arial"/>
          <w:sz w:val="20"/>
          <w:szCs w:val="28"/>
        </w:rPr>
        <w:t>Tổ chức, cá nhân đề nghị cấp phép nộp 01 bộ hồ sơ trực tiếp hoặc qua đường bưu điện đến Bộ phận Một cửa hoặc bản điện tử qua hệ thống cổng dịch vụ công trực tuyến và nộp phí thẩm định hồ sơ theo quy định.</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Trả kết quả giải quyết thủ tục hành chính:</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Sở Tài nguyên và Môi trường trả lại hồ sơ cho tổ chức, cá nhân đề nghị cấp phép và thông báo lý do không cấp phép (đối với trường hợp hồ sơ không đủ điều kiện cấp phép) hoặc nội dung đề án, báo cáo chưa đạt yêu cầu, phải làm lại (đối với trường hợp phải lập lại).</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Bộ phận Một cửa thông báo và trả giấy phép cho tổ chức, cá nhân đề nghị cấp phép (đối với trường hợp đủ điều kiện cấp phép).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1.3. Thành phần, số lượng hồ sơ: </w:t>
      </w:r>
      <w:r w:rsidRPr="0042167A">
        <w:rPr>
          <w:rFonts w:ascii="Arial" w:hAnsi="Arial" w:cs="Arial"/>
          <w:sz w:val="20"/>
          <w:szCs w:val="28"/>
        </w:rPr>
        <w:t>01 bộ hồ sơ gồm:</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lastRenderedPageBreak/>
        <w:t>- Đơn đề nghị cấp giấy phép.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Đề án thăm dò nước dưới đất đối với công trình có quy mô từ 200 m</w:t>
      </w:r>
      <w:r w:rsidRPr="0042167A">
        <w:rPr>
          <w:rFonts w:ascii="Arial" w:hAnsi="Arial" w:cs="Arial"/>
          <w:sz w:val="20"/>
          <w:szCs w:val="28"/>
          <w:vertAlign w:val="superscript"/>
        </w:rPr>
        <w:t>3</w:t>
      </w:r>
      <w:r w:rsidRPr="0042167A">
        <w:rPr>
          <w:rFonts w:ascii="Arial" w:hAnsi="Arial" w:cs="Arial"/>
          <w:sz w:val="20"/>
          <w:szCs w:val="28"/>
        </w:rPr>
        <w:t>/ngày đêm trở lên; thiết kế giếng thăm dò đối với công trình có quy mô nhỏ hơn 200 m</w:t>
      </w:r>
      <w:r w:rsidRPr="0042167A">
        <w:rPr>
          <w:rFonts w:ascii="Arial" w:hAnsi="Arial" w:cs="Arial"/>
          <w:sz w:val="20"/>
          <w:szCs w:val="28"/>
          <w:vertAlign w:val="superscript"/>
        </w:rPr>
        <w:t>3</w:t>
      </w:r>
      <w:r w:rsidRPr="0042167A">
        <w:rPr>
          <w:rFonts w:ascii="Arial" w:hAnsi="Arial" w:cs="Arial"/>
          <w:sz w:val="20"/>
          <w:szCs w:val="28"/>
        </w:rPr>
        <w:t>/ngày đêm.</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1.4. Thời hạn giải quyết: </w:t>
      </w:r>
      <w:r w:rsidRPr="0042167A">
        <w:rPr>
          <w:rFonts w:ascii="Arial" w:hAnsi="Arial" w:cs="Arial"/>
          <w:sz w:val="20"/>
          <w:szCs w:val="28"/>
        </w:rPr>
        <w:t>36 ngày làm việc</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Thời hạn kiểm tra hồ sơ: </w:t>
      </w:r>
      <w:r w:rsidRPr="0042167A">
        <w:rPr>
          <w:rFonts w:ascii="Arial" w:hAnsi="Arial" w:cs="Arial"/>
          <w:sz w:val="20"/>
          <w:szCs w:val="28"/>
        </w:rPr>
        <w:t>Trong thời hạn 03 ngày làm việc, kể từ ngày nhận hồ sơ, Sở Tài nguyên và Môi trường có trách nhiệm xem xét, kiểm tra hồ sơ.</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Thời hạn thẩm định đề án, báo cáo</w:t>
      </w:r>
      <w:r w:rsidRPr="0042167A">
        <w:rPr>
          <w:rFonts w:ascii="Arial" w:hAnsi="Arial" w:cs="Arial"/>
          <w:sz w:val="20"/>
          <w:szCs w:val="28"/>
        </w:rPr>
        <w:t>: Trong thời hạn 30 ngày làm việc, kể từ ngày nhận đủ hồ sơ hợp lệ, Sở Tài nguyên và Môi trường có trách nhiệm thẩm định đề án, báo cáo.</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Thời gian bổ sung, hoàn thiện đề án, báo cáo </w:t>
      </w:r>
      <w:r w:rsidRPr="0042167A">
        <w:rPr>
          <w:rFonts w:ascii="Arial" w:hAnsi="Arial" w:cs="Arial"/>
          <w:sz w:val="20"/>
          <w:szCs w:val="28"/>
        </w:rPr>
        <w:t>không tính vào thời gian thẩm định đề án, báo cáo. Thời gian thẩm định sau khi đề án, báo cáo được bổ sung hoàn chỉnh là 18 ngày làm việc.</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Thời hạn trả giấy phép: </w:t>
      </w:r>
      <w:r w:rsidRPr="0042167A">
        <w:rPr>
          <w:rFonts w:ascii="Arial" w:hAnsi="Arial" w:cs="Arial"/>
          <w:sz w:val="20"/>
          <w:szCs w:val="28"/>
        </w:rPr>
        <w:t>Trong thời hạn 03 ngày làm việc, kể từ ngày nhận được giấy phép, Bộ phận Một cửa thông báo cho tổ chức, cá nhân đề nghị cấp phép để nhận giấy phép.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1.5. Đối tượng thực hiện thủ tục hành chính: </w:t>
      </w:r>
      <w:r w:rsidRPr="0042167A">
        <w:rPr>
          <w:rFonts w:ascii="Arial" w:hAnsi="Arial" w:cs="Arial"/>
          <w:sz w:val="20"/>
          <w:szCs w:val="28"/>
        </w:rPr>
        <w:t>Tổ chức, cá nhân.</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1.6. Cơ quan giải quyết thủ tục hành chính:</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Cơ quan có thẩm quyền quyết định</w:t>
      </w:r>
      <w:r w:rsidRPr="0042167A">
        <w:rPr>
          <w:rFonts w:ascii="Arial" w:hAnsi="Arial" w:cs="Arial"/>
          <w:sz w:val="20"/>
          <w:szCs w:val="28"/>
        </w:rPr>
        <w:t>: Sở Tài nguyên và Môi trường.</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Cơ quan trực tiếp thực hiện</w:t>
      </w:r>
      <w:r w:rsidRPr="0042167A">
        <w:rPr>
          <w:rFonts w:ascii="Arial" w:hAnsi="Arial" w:cs="Arial"/>
          <w:sz w:val="20"/>
          <w:szCs w:val="28"/>
        </w:rPr>
        <w:t>: Cơ quan chuyên môn về lĩnh vực tài nguyên nước thuộc Sở Tài nguyên và Môi trường.</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1.7. Kết quả thực hiện thủ tục hành chính:</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Kết quả của thủ tục Cấp giấy phép thăm dò nước dưới đất đối với công trình có lưu lượng dưới 3000m</w:t>
      </w:r>
      <w:r w:rsidRPr="0042167A">
        <w:rPr>
          <w:rFonts w:ascii="Arial" w:hAnsi="Arial" w:cs="Arial"/>
          <w:sz w:val="20"/>
          <w:szCs w:val="28"/>
          <w:vertAlign w:val="superscript"/>
        </w:rPr>
        <w:t>3</w:t>
      </w:r>
      <w:r w:rsidRPr="0042167A">
        <w:rPr>
          <w:rFonts w:ascii="Arial" w:hAnsi="Arial" w:cs="Arial"/>
          <w:sz w:val="20"/>
          <w:szCs w:val="28"/>
        </w:rPr>
        <w:t>/ngày đêm theo Mẫu số 11 ban hành kèm theo Phụ lục Nghị định số 02/2023/NĐ-CP ngày 01 tháng 02 năm 2023 quy định chi tiết thi hành một số điều của Luật Tài nguyên nước.</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1.8. Phí thẩm định: </w:t>
      </w:r>
      <w:r w:rsidRPr="0042167A">
        <w:rPr>
          <w:rFonts w:ascii="Arial" w:hAnsi="Arial" w:cs="Arial"/>
          <w:i/>
          <w:iCs/>
          <w:sz w:val="20"/>
          <w:szCs w:val="28"/>
        </w:rPr>
        <w:t>do quy định của Ủy ban nhân dân cấp tỉnh.</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1.9. Tên mẫu đơn, mẫu tờ khai:</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Đơn đề nghị cấp giấy phép: </w:t>
      </w:r>
      <w:r w:rsidRPr="0042167A">
        <w:rPr>
          <w:rFonts w:ascii="Arial" w:hAnsi="Arial" w:cs="Arial"/>
          <w:i/>
          <w:iCs/>
          <w:sz w:val="20"/>
          <w:szCs w:val="28"/>
        </w:rPr>
        <w:t>Mẫu 01 Nghị định số 02/2023/NĐ-CP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Đề án thăm dò nước dưới đất đối với công trình có quy mô từ 200 m</w:t>
      </w:r>
      <w:r w:rsidRPr="0042167A">
        <w:rPr>
          <w:rFonts w:ascii="Arial" w:hAnsi="Arial" w:cs="Arial"/>
          <w:sz w:val="20"/>
          <w:szCs w:val="28"/>
          <w:vertAlign w:val="superscript"/>
        </w:rPr>
        <w:t>3</w:t>
      </w:r>
      <w:r w:rsidRPr="0042167A">
        <w:rPr>
          <w:rFonts w:ascii="Arial" w:hAnsi="Arial" w:cs="Arial"/>
          <w:sz w:val="20"/>
          <w:szCs w:val="28"/>
        </w:rPr>
        <w:t xml:space="preserve">/ngày đêm trở lên: </w:t>
      </w:r>
      <w:r w:rsidRPr="0042167A">
        <w:rPr>
          <w:rFonts w:ascii="Arial" w:hAnsi="Arial" w:cs="Arial"/>
          <w:i/>
          <w:iCs/>
          <w:sz w:val="20"/>
          <w:szCs w:val="28"/>
        </w:rPr>
        <w:t>Mẫu 21 Nghị định số 02/2023/NĐ-CP</w:t>
      </w:r>
      <w:r w:rsidRPr="0042167A">
        <w:rPr>
          <w:rFonts w:ascii="Arial" w:hAnsi="Arial" w:cs="Arial"/>
          <w:sz w:val="20"/>
          <w:szCs w:val="28"/>
        </w:rPr>
        <w:t>.</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Thiết kế giếng thăm dò nước dưới đất (đối với công trình có quy mô nhỏ hơn 200 m</w:t>
      </w:r>
      <w:r w:rsidRPr="0042167A">
        <w:rPr>
          <w:rFonts w:ascii="Arial" w:hAnsi="Arial" w:cs="Arial"/>
          <w:sz w:val="20"/>
          <w:szCs w:val="28"/>
          <w:vertAlign w:val="superscript"/>
        </w:rPr>
        <w:t>3</w:t>
      </w:r>
      <w:r w:rsidRPr="0042167A">
        <w:rPr>
          <w:rFonts w:ascii="Arial" w:hAnsi="Arial" w:cs="Arial"/>
          <w:sz w:val="20"/>
          <w:szCs w:val="28"/>
        </w:rPr>
        <w:t xml:space="preserve">/ngày đêm): </w:t>
      </w:r>
      <w:r w:rsidRPr="0042167A">
        <w:rPr>
          <w:rFonts w:ascii="Arial" w:hAnsi="Arial" w:cs="Arial"/>
          <w:i/>
          <w:iCs/>
          <w:sz w:val="20"/>
          <w:szCs w:val="28"/>
        </w:rPr>
        <w:t>Mẫu 22 Nghị định số 02/2023/NĐ-CP</w:t>
      </w:r>
      <w:r w:rsidRPr="0042167A">
        <w:rPr>
          <w:rFonts w:ascii="Arial" w:hAnsi="Arial" w:cs="Arial"/>
          <w:sz w:val="20"/>
          <w:szCs w:val="28"/>
        </w:rPr>
        <w:t>.</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Giấy phép thăm dò nước dưới đất: </w:t>
      </w:r>
      <w:r w:rsidRPr="0042167A">
        <w:rPr>
          <w:rFonts w:ascii="Arial" w:hAnsi="Arial" w:cs="Arial"/>
          <w:i/>
          <w:iCs/>
          <w:sz w:val="20"/>
          <w:szCs w:val="28"/>
        </w:rPr>
        <w:t>Mẫu 11 Nghị định số 02/2023/NĐ-CP.</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1.10. Yêu cầu, điều kiện thực hiện thủ tục hành chính:</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Có đề án, báo cáo phù hợp với quy hoạch về tài nguyên nước, quy hoạch tỉnh, quy định vùng hạn chế khai thác nước dưới đất, quy hoạch chuyên ngành có liên quan đã được phê duyệt hoặc phù hợp với khả năng nguồn nước nếu chưa có các quy hoạch và quy định vùng hạn chế khai thác nước dưới đất. Đề án, báo cáo phải do tổ chức, cá nhân có đủ điều kiện năng lực theo quy định lập; thông tin, số liệu sử dụng để lập đề án, báo cáo phải đảm bảo đầy đủ, rõ ràng, chính xác và trung thực.</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Kinh nghiệm công tác: người phụ trách kỹ thuật của đề án, báo cáo có ít nhất 03 năm kinh nghiệm trong lĩnh vực tài nguyên nước, môi trường hoặc đã trực tiếp tham gia lập ít nhất 03 đề án, báo cáo.</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1.11. Căn cứ pháp lý của thủ tục hành chính:</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Luật Tài nguyên nước ngày 21 tháng 6 năm 2012.</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02/2023/NĐ-CP ngày 01 tháng 02 năm 2023 của Chính phủ quy định chi tiết thi hành một số điều của Luật Tài nguyên nước.</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60/2016/NĐ-CP ngày 01 tháng 7 năm 2016 của Chính phủ quy định một số điều kiện đầu tư kinh doanh trong lĩnh vực tài nguyên và môi trường.</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lastRenderedPageBreak/>
        <w:t>- Nghị định số 136/2018/NĐ-CP ngày 05 tháng 10 năm 2018 của Chính phủ sửa đổi một số điều của các nghị định liên quan đến điều kiện đầu tư kinh doanh thuộc lĩnh vực tài nguyên và môi trường.</w:t>
      </w:r>
    </w:p>
    <w:p w:rsidR="003E564E" w:rsidRPr="0042167A" w:rsidRDefault="003E564E" w:rsidP="003E564E">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22/2023/NĐ-CP ngày 12 tháng 5 năm 2023 của Chính phủ sửa đổi, bổ sung một số điều của các Nghị định liên quan đến hoạt động kinh doanh trong lĩnh vực tài nguyên và môi trường.</w:t>
      </w:r>
    </w:p>
    <w:p w:rsidR="00931B43" w:rsidRDefault="00931B43">
      <w:bookmarkStart w:id="0" w:name="_GoBack"/>
      <w:bookmarkEnd w:id="0"/>
    </w:p>
    <w:sectPr w:rsidR="0093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4E"/>
    <w:rsid w:val="003E564E"/>
    <w:rsid w:val="0093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4E"/>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E564E"/>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4E"/>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E564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2023-08-19T11:05:00Z</dcterms:created>
  <dcterms:modified xsi:type="dcterms:W3CDTF">2023-08-19T11:05:00Z</dcterms:modified>
</cp:coreProperties>
</file>