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87" w:rsidRDefault="00571087" w:rsidP="00571087">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Ph</w:t>
      </w:r>
      <w:bookmarkStart w:id="0" w:name="_GoBack"/>
      <w:bookmarkEnd w:id="0"/>
      <w:r>
        <w:rPr>
          <w:rFonts w:ascii="Arial" w:eastAsia="Times New Roman" w:hAnsi="Arial" w:cs="Arial"/>
          <w:b/>
          <w:bCs/>
          <w:sz w:val="20"/>
          <w:szCs w:val="20"/>
        </w:rPr>
        <w:t>ụ lục XI</w:t>
      </w:r>
    </w:p>
    <w:p w:rsidR="00571087" w:rsidRDefault="00571087" w:rsidP="00571087">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DANH MỤC CÔNG TR</w:t>
      </w:r>
      <w:r>
        <w:rPr>
          <w:rFonts w:ascii="Arial" w:eastAsia="Times New Roman" w:hAnsi="Arial" w:cs="Arial"/>
          <w:b/>
          <w:bCs/>
          <w:sz w:val="20"/>
          <w:szCs w:val="20"/>
        </w:rPr>
        <w:t>ÌNH ẢNH HƯỞNG LỚN</w:t>
      </w:r>
    </w:p>
    <w:p w:rsidR="00571087" w:rsidRPr="00437753" w:rsidRDefault="00571087" w:rsidP="00571087">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ĐẾN AN TOÀN, LỢI ÍCH CỘNG ĐỒNG</w:t>
      </w:r>
    </w:p>
    <w:p w:rsidR="00571087" w:rsidRDefault="00571087" w:rsidP="00571087">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w:t>
      </w:r>
      <w:r>
        <w:rPr>
          <w:rFonts w:ascii="Arial" w:eastAsia="Times New Roman" w:hAnsi="Arial" w:cs="Arial"/>
          <w:i/>
          <w:iCs/>
          <w:sz w:val="20"/>
          <w:szCs w:val="20"/>
        </w:rPr>
        <w:t>heo Nghị định số 175/2024/NĐ-CP</w:t>
      </w:r>
    </w:p>
    <w:p w:rsidR="00571087" w:rsidRPr="00437753" w:rsidRDefault="00571087" w:rsidP="00571087">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ngày 30 tháng 12 năm 2024 của Chính phủ)</w:t>
      </w:r>
    </w:p>
    <w:p w:rsidR="00571087" w:rsidRPr="002C53F4" w:rsidRDefault="00571087" w:rsidP="00571087">
      <w:pPr>
        <w:shd w:val="clear" w:color="auto" w:fill="FFFFFF"/>
        <w:jc w:val="center"/>
        <w:rPr>
          <w:rFonts w:ascii="Arial" w:eastAsia="Times New Roman" w:hAnsi="Arial" w:cs="Arial"/>
          <w:sz w:val="20"/>
          <w:szCs w:val="20"/>
          <w:vertAlign w:val="superscript"/>
        </w:rPr>
      </w:pPr>
      <w:r w:rsidRPr="002C53F4">
        <w:rPr>
          <w:rFonts w:ascii="Arial" w:eastAsia="Times New Roman" w:hAnsi="Arial" w:cs="Arial"/>
          <w:sz w:val="20"/>
          <w:szCs w:val="20"/>
          <w:vertAlign w:val="superscript"/>
        </w:rPr>
        <w:t>____________</w:t>
      </w:r>
    </w:p>
    <w:p w:rsidR="00571087" w:rsidRDefault="00571087" w:rsidP="00571087">
      <w:pPr>
        <w:shd w:val="clear" w:color="auto" w:fill="FFFFFF"/>
        <w:jc w:val="center"/>
        <w:rPr>
          <w:rFonts w:ascii="Arial" w:eastAsia="Times New Roman" w:hAnsi="Arial" w:cs="Arial"/>
          <w:sz w:val="20"/>
          <w:szCs w:val="20"/>
        </w:rPr>
      </w:pPr>
    </w:p>
    <w:p w:rsidR="00571087" w:rsidRPr="00437753" w:rsidRDefault="00571087" w:rsidP="00571087">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Công trình ảnh hưởng lớn đến an toàn, lợi ích cộng đồng là các công trình được đầu tư xây dựng mới và các công trình được cải tạo, sửa chữa làm thay đổi quy mô, công suất, công năng, kết cấu chịu lực chính trong danh mục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352"/>
        <w:gridCol w:w="4409"/>
        <w:gridCol w:w="1711"/>
      </w:tblGrid>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b/>
                <w:bCs/>
                <w:sz w:val="20"/>
                <w:szCs w:val="20"/>
              </w:rPr>
            </w:pPr>
            <w:r w:rsidRPr="00437753">
              <w:rPr>
                <w:rFonts w:ascii="Arial" w:eastAsia="Times New Roman" w:hAnsi="Arial" w:cs="Arial"/>
                <w:b/>
                <w:bCs/>
                <w:sz w:val="20"/>
                <w:szCs w:val="20"/>
              </w:rPr>
              <w:t>Mã số</w:t>
            </w:r>
          </w:p>
        </w:tc>
        <w:tc>
          <w:tcPr>
            <w:tcW w:w="3616" w:type="pct"/>
            <w:gridSpan w:val="2"/>
            <w:shd w:val="clear" w:color="auto" w:fill="auto"/>
            <w:vAlign w:val="center"/>
          </w:tcPr>
          <w:p w:rsidR="00571087" w:rsidRPr="00437753" w:rsidRDefault="00571087" w:rsidP="00642575">
            <w:pPr>
              <w:jc w:val="center"/>
              <w:rPr>
                <w:rFonts w:ascii="Arial" w:eastAsia="Times New Roman" w:hAnsi="Arial" w:cs="Arial"/>
                <w:b/>
                <w:bCs/>
                <w:sz w:val="20"/>
                <w:szCs w:val="20"/>
              </w:rPr>
            </w:pPr>
            <w:r w:rsidRPr="00437753">
              <w:rPr>
                <w:rFonts w:ascii="Arial" w:eastAsia="Times New Roman" w:hAnsi="Arial" w:cs="Arial"/>
                <w:b/>
                <w:bCs/>
                <w:sz w:val="20"/>
                <w:szCs w:val="20"/>
              </w:rPr>
              <w:t>Loại công trình</w:t>
            </w:r>
          </w:p>
        </w:tc>
        <w:tc>
          <w:tcPr>
            <w:tcW w:w="915" w:type="pct"/>
            <w:shd w:val="clear" w:color="auto" w:fill="auto"/>
            <w:vAlign w:val="center"/>
          </w:tcPr>
          <w:p w:rsidR="00571087" w:rsidRPr="00437753" w:rsidRDefault="00571087" w:rsidP="00642575">
            <w:pPr>
              <w:jc w:val="center"/>
              <w:rPr>
                <w:rFonts w:ascii="Arial" w:eastAsia="Times New Roman" w:hAnsi="Arial" w:cs="Arial"/>
                <w:b/>
                <w:bCs/>
                <w:sz w:val="20"/>
                <w:szCs w:val="20"/>
              </w:rPr>
            </w:pPr>
            <w:r w:rsidRPr="00437753">
              <w:rPr>
                <w:rFonts w:ascii="Arial" w:eastAsia="Times New Roman" w:hAnsi="Arial" w:cs="Arial"/>
                <w:b/>
                <w:bCs/>
                <w:sz w:val="20"/>
                <w:szCs w:val="20"/>
              </w:rPr>
              <w:t>Cấp công trình</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b/>
                <w:bCs/>
                <w:sz w:val="20"/>
                <w:szCs w:val="20"/>
              </w:rPr>
              <w:t>I</w:t>
            </w:r>
          </w:p>
        </w:tc>
        <w:tc>
          <w:tcPr>
            <w:tcW w:w="3616" w:type="pct"/>
            <w:gridSpan w:val="2"/>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b/>
                <w:bCs/>
                <w:sz w:val="20"/>
                <w:szCs w:val="20"/>
              </w:rPr>
              <w:t>CÔNG TRÌNH DÂN DỤNG</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I.1</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Nhà ở</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Các tòa nhà chung cư, nhà ở tập thể khác</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công cộng</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I.2.1</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giáo dục, đào tạo, nghiên cứu</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I.2.2</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y tế</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I.2.3</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thể thao</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Sân vận động; nhà thi đấu (các môn thể thao); bể bơi; sân thi đấu các môn thể thao có khán đài</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I.2.4</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văn hóa</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Trung tâm hội nghị, nhà hát, nhà văn hóa, câu lạc bộ, rạp chiếu phim, rạp xiếc, vũ trường; các công trình di tích; bảo tàng, thư viện, triển lãm, nhà trưng bày; tượng đài ngoài trời; công trình vui chơi giải trí; công trình văn hóa tập trung đông người và các công trình khác có chức năng tương đương</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I.2.5</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thương mại</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Trung tâm thương mại, siêu thị</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Nhà hàng, cửa hàng ăn uống, giải khát và các cơ sở tương tự</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I.2.6</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dịch vụ</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Khách sạn, nhà khách, nhà nghỉ; khu nghỉ dưỡng; biệt thự lưu trú; căn hộ lưu trú và các cơ sở tương tự; bưu điện, bưu cục, cơ sở cung cấp dịch vụ bưu chính, viễn thông khác</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I.2.7</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trụ sở, văn phòng làm việc</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Các tòa nhà sử dụng làm trụ sở, văn phòng làm việc</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I.2.8</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Các công trình đa năng hoặc hỗn hợp</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Các tòa nhà, kết cấu khác sử dụng đa năng hoặc hỗn hợp khác</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I.2.9</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phục vụ dân sinh khác</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Các tòa nhà hoặc kết cấu khác được xây dựng phục vụ dân sinh</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b/>
                <w:bCs/>
                <w:sz w:val="20"/>
                <w:szCs w:val="20"/>
              </w:rPr>
              <w:t>II</w:t>
            </w:r>
          </w:p>
        </w:tc>
        <w:tc>
          <w:tcPr>
            <w:tcW w:w="4531" w:type="pct"/>
            <w:gridSpan w:val="3"/>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b/>
                <w:bCs/>
                <w:sz w:val="20"/>
                <w:szCs w:val="20"/>
              </w:rPr>
              <w:t>CÔNG TRÌNH CÔNG NGHIỆP</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II.1</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sản xuất vật liệu, sản phẩm xây dựng</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II.2</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luyện kim và cơ khí chế tạo</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II.3</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khai thác mỏ và chế biến khoáng sản</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II.4</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dầu khí</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II.5</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năng lượng</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II.6</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hóa chất</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II.7</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công nghiệp nhẹ</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b/>
                <w:bCs/>
                <w:sz w:val="20"/>
                <w:szCs w:val="20"/>
              </w:rPr>
              <w:t>III</w:t>
            </w:r>
          </w:p>
        </w:tc>
        <w:tc>
          <w:tcPr>
            <w:tcW w:w="4531" w:type="pct"/>
            <w:gridSpan w:val="3"/>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b/>
                <w:bCs/>
                <w:sz w:val="20"/>
                <w:szCs w:val="20"/>
              </w:rPr>
              <w:t>CÔNG TRÌNH HẠ TẦNG KỸ THUẬT</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lastRenderedPageBreak/>
              <w:t>III.1</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cấp nước</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III.2</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thoát nước</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III.3</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xử lý chất thải rắn</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III.4</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hạ tầng kỹ thuật viễn thông thụ động</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Nhà, trạm viễn thông, cột ăng ten, cột treo cáp</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III.5</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Nhà tang lễ; cơ sở hỏa táng</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III.6</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Nhà để xe (ngầm và nổi) Cống, bể, hào, hầm tuy nen kỹ thuật</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b/>
                <w:bCs/>
                <w:sz w:val="20"/>
                <w:szCs w:val="20"/>
              </w:rPr>
              <w:t>IV</w:t>
            </w:r>
          </w:p>
        </w:tc>
        <w:tc>
          <w:tcPr>
            <w:tcW w:w="4531" w:type="pct"/>
            <w:gridSpan w:val="3"/>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b/>
                <w:bCs/>
                <w:sz w:val="20"/>
                <w:szCs w:val="20"/>
              </w:rPr>
              <w:t>CÔNG TRÌNH GIAO THÔNG</w:t>
            </w:r>
          </w:p>
        </w:tc>
      </w:tr>
      <w:tr w:rsidR="00571087" w:rsidRPr="00143148" w:rsidTr="00642575">
        <w:trPr>
          <w:trHeight w:val="20"/>
        </w:trPr>
        <w:tc>
          <w:tcPr>
            <w:tcW w:w="469" w:type="pct"/>
            <w:vMerge w:val="restar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IV.1</w:t>
            </w:r>
          </w:p>
        </w:tc>
        <w:tc>
          <w:tcPr>
            <w:tcW w:w="1258" w:type="pct"/>
            <w:vMerge w:val="restar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Đường bộ</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Đường ô tô cao tốc</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Mọi cấp</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Đường ô tô, đường trong đô thị</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Bến phà</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Bến xe; cơ sở đăng kiểm phương tiện giao thông đường bộ; trạm thu phí; trạm dừng nghỉ</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val="restar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Đường sắt</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Đường sắt cao tốc, đường sắt tốc độ cao, đường sắt đô thị (đường sắt trên cao, đường tầu điện ngầm/Metro); đường sắt quốc gia; đường sắt chuyên dụng và đường sắt địa phương</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Mọi cấp</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Ga hành khách</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Cầu</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Cầu đường bộ, cầu bộ hành, cầu đường sắt, cầu phao</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val="restar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Hầm</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Hầm đường ô tô, hầm đường sắt, hầm cho người đi bộ</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Hầm tàu điện ngầm (Metro)</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Mọi cấp</w:t>
            </w:r>
          </w:p>
        </w:tc>
      </w:tr>
      <w:tr w:rsidR="00571087" w:rsidRPr="00143148" w:rsidTr="00642575">
        <w:trPr>
          <w:trHeight w:val="20"/>
        </w:trPr>
        <w:tc>
          <w:tcPr>
            <w:tcW w:w="469" w:type="pct"/>
            <w:vMerge w:val="restar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IV.2</w:t>
            </w:r>
          </w:p>
        </w:tc>
        <w:tc>
          <w:tcPr>
            <w:tcW w:w="1258" w:type="pct"/>
            <w:vMerge w:val="restar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đường thủy nội địa</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Cảng, bến thủy nội địa (cho hành khách)</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Đường thủy có bề rộng (B) và độ sâu (H) nước chạy tầu (bao gồm cả phao tiêu, công trình chính trị)</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vMerge w:val="restar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IV.3</w:t>
            </w:r>
          </w:p>
        </w:tc>
        <w:tc>
          <w:tcPr>
            <w:tcW w:w="1258" w:type="pct"/>
            <w:vMerge w:val="restar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hàng hải</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Bến/cảng biển, bến phà (cho hành khách)</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Các công trình hàng hải khác</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IV.4</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hàng không</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Nhà ga hàng không; khu bay (bao gồm cả các công trình bảo đảm hoạt động bay)</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Mọi cấp</w:t>
            </w:r>
          </w:p>
        </w:tc>
      </w:tr>
      <w:tr w:rsidR="00571087" w:rsidRPr="00143148" w:rsidTr="00642575">
        <w:trPr>
          <w:trHeight w:val="20"/>
        </w:trPr>
        <w:tc>
          <w:tcPr>
            <w:tcW w:w="469" w:type="pct"/>
            <w:vMerge w:val="restar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IV.5</w:t>
            </w:r>
          </w:p>
        </w:tc>
        <w:tc>
          <w:tcPr>
            <w:tcW w:w="1258" w:type="pct"/>
            <w:vMerge w:val="restar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Tuyến cáp treo và nhà ga</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Để vận chuyển người</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Mọi cấp</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Để vận chuyển hàng hóa</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b/>
                <w:bCs/>
                <w:sz w:val="20"/>
                <w:szCs w:val="20"/>
              </w:rPr>
              <w:t>V</w:t>
            </w:r>
          </w:p>
        </w:tc>
        <w:tc>
          <w:tcPr>
            <w:tcW w:w="4531" w:type="pct"/>
            <w:gridSpan w:val="3"/>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b/>
                <w:bCs/>
                <w:sz w:val="20"/>
                <w:szCs w:val="20"/>
              </w:rPr>
              <w:t>CÔNG TRÌNH NÔNG NGHIỆP VÀ PHÁT TRIỂN NÔNG THÔN</w:t>
            </w:r>
          </w:p>
        </w:tc>
      </w:tr>
      <w:tr w:rsidR="00571087" w:rsidRPr="00143148" w:rsidTr="00642575">
        <w:trPr>
          <w:trHeight w:val="20"/>
        </w:trPr>
        <w:tc>
          <w:tcPr>
            <w:tcW w:w="469" w:type="pct"/>
            <w:vMerge w:val="restar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V.1</w:t>
            </w:r>
          </w:p>
        </w:tc>
        <w:tc>
          <w:tcPr>
            <w:tcW w:w="1258" w:type="pct"/>
            <w:vMerge w:val="restar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thủy lợi</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cấp nước</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Hồ chứa nước</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vMerge/>
            <w:shd w:val="clear" w:color="auto" w:fill="auto"/>
            <w:vAlign w:val="center"/>
          </w:tcPr>
          <w:p w:rsidR="00571087" w:rsidRPr="00437753" w:rsidRDefault="00571087" w:rsidP="00642575">
            <w:pPr>
              <w:jc w:val="center"/>
              <w:rPr>
                <w:rFonts w:ascii="Arial" w:eastAsia="Times New Roman" w:hAnsi="Arial" w:cs="Arial"/>
                <w:sz w:val="20"/>
                <w:szCs w:val="20"/>
              </w:rPr>
            </w:pPr>
          </w:p>
        </w:tc>
        <w:tc>
          <w:tcPr>
            <w:tcW w:w="1258" w:type="pct"/>
            <w:vMerge/>
            <w:shd w:val="clear" w:color="auto" w:fill="auto"/>
            <w:vAlign w:val="center"/>
          </w:tcPr>
          <w:p w:rsidR="00571087" w:rsidRPr="00437753" w:rsidRDefault="00571087" w:rsidP="00642575">
            <w:pPr>
              <w:rPr>
                <w:rFonts w:ascii="Arial" w:eastAsia="Times New Roman" w:hAnsi="Arial" w:cs="Arial"/>
                <w:sz w:val="20"/>
                <w:szCs w:val="20"/>
              </w:rPr>
            </w:pP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Đập ngăn nước và các công trình thủy lợi chịu áp khác</w:t>
            </w: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71087" w:rsidRPr="00143148" w:rsidTr="00642575">
        <w:trPr>
          <w:trHeight w:val="20"/>
        </w:trPr>
        <w:tc>
          <w:tcPr>
            <w:tcW w:w="469" w:type="pct"/>
            <w:shd w:val="clear" w:color="auto" w:fill="auto"/>
            <w:vAlign w:val="center"/>
          </w:tcPr>
          <w:p w:rsidR="00571087" w:rsidRPr="00437753" w:rsidRDefault="00571087" w:rsidP="00642575">
            <w:pPr>
              <w:jc w:val="center"/>
              <w:rPr>
                <w:rFonts w:ascii="Arial" w:eastAsia="Times New Roman" w:hAnsi="Arial" w:cs="Arial"/>
                <w:sz w:val="20"/>
                <w:szCs w:val="20"/>
              </w:rPr>
            </w:pPr>
            <w:r w:rsidRPr="00437753">
              <w:rPr>
                <w:rFonts w:ascii="Arial" w:eastAsia="Times New Roman" w:hAnsi="Arial" w:cs="Arial"/>
                <w:sz w:val="20"/>
                <w:szCs w:val="20"/>
              </w:rPr>
              <w:t>V.2</w:t>
            </w:r>
          </w:p>
        </w:tc>
        <w:tc>
          <w:tcPr>
            <w:tcW w:w="1258"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Công trình đê điều</w:t>
            </w:r>
          </w:p>
        </w:tc>
        <w:tc>
          <w:tcPr>
            <w:tcW w:w="2358" w:type="pct"/>
            <w:shd w:val="clear" w:color="auto" w:fill="auto"/>
            <w:vAlign w:val="center"/>
          </w:tcPr>
          <w:p w:rsidR="00571087" w:rsidRPr="00437753" w:rsidRDefault="00571087" w:rsidP="00642575">
            <w:pPr>
              <w:rPr>
                <w:rFonts w:ascii="Arial" w:eastAsia="Times New Roman" w:hAnsi="Arial" w:cs="Arial"/>
                <w:sz w:val="20"/>
                <w:szCs w:val="20"/>
              </w:rPr>
            </w:pPr>
          </w:p>
        </w:tc>
        <w:tc>
          <w:tcPr>
            <w:tcW w:w="915" w:type="pct"/>
            <w:shd w:val="clear" w:color="auto" w:fill="auto"/>
            <w:vAlign w:val="center"/>
          </w:tcPr>
          <w:p w:rsidR="00571087" w:rsidRPr="00437753" w:rsidRDefault="00571087" w:rsidP="00642575">
            <w:pPr>
              <w:rPr>
                <w:rFonts w:ascii="Arial" w:eastAsia="Times New Roman" w:hAnsi="Arial" w:cs="Arial"/>
                <w:sz w:val="20"/>
                <w:szCs w:val="20"/>
              </w:rPr>
            </w:pPr>
            <w:r w:rsidRPr="00437753">
              <w:rPr>
                <w:rFonts w:ascii="Arial" w:eastAsia="Times New Roman" w:hAnsi="Arial" w:cs="Arial"/>
                <w:sz w:val="20"/>
                <w:szCs w:val="20"/>
              </w:rPr>
              <w:t>Mọi cấp</w:t>
            </w:r>
          </w:p>
        </w:tc>
      </w:tr>
    </w:tbl>
    <w:p w:rsidR="0059653C" w:rsidRDefault="0059653C"/>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87"/>
    <w:rsid w:val="00571087"/>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22E88-AA2A-4B01-AF4C-15AE765F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08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2025-01-08T08:32:00Z</dcterms:created>
  <dcterms:modified xsi:type="dcterms:W3CDTF">2025-01-08T08:33:00Z</dcterms:modified>
</cp:coreProperties>
</file>