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41" w:rsidRDefault="00F75941" w:rsidP="00F75941">
      <w:pPr>
        <w:shd w:val="clear" w:color="auto" w:fill="FFFFFF"/>
        <w:spacing w:after="0" w:line="234" w:lineRule="atLeast"/>
        <w:jc w:val="center"/>
        <w:rPr>
          <w:rFonts w:ascii="Times New Roman" w:hAnsi="Times New Roman"/>
          <w:color w:val="000000"/>
          <w:sz w:val="24"/>
          <w:szCs w:val="24"/>
        </w:rPr>
      </w:pPr>
      <w:bookmarkStart w:id="0" w:name="chuong_pl_2"/>
      <w:r>
        <w:rPr>
          <w:rFonts w:ascii="Times New Roman" w:hAnsi="Times New Roman"/>
          <w:b/>
          <w:bCs/>
          <w:color w:val="000000"/>
          <w:sz w:val="24"/>
          <w:szCs w:val="24"/>
          <w:lang w:val="en-GB"/>
        </w:rPr>
        <w:t>PHỤ LỤC SỐ 02</w:t>
      </w:r>
      <w:bookmarkEnd w:id="0"/>
    </w:p>
    <w:p w:rsidR="00F75941" w:rsidRDefault="00F75941" w:rsidP="00F75941">
      <w:pPr>
        <w:shd w:val="clear" w:color="auto" w:fill="FFFFFF"/>
        <w:spacing w:before="120" w:after="120" w:line="234" w:lineRule="atLeast"/>
        <w:jc w:val="center"/>
        <w:rPr>
          <w:rFonts w:ascii="Times New Roman" w:hAnsi="Times New Roman"/>
          <w:color w:val="000000"/>
          <w:sz w:val="24"/>
          <w:szCs w:val="24"/>
        </w:rPr>
      </w:pPr>
      <w:r>
        <w:rPr>
          <w:rFonts w:ascii="Times New Roman" w:hAnsi="Times New Roman"/>
          <w:i/>
          <w:iCs/>
          <w:color w:val="000000"/>
          <w:sz w:val="24"/>
          <w:szCs w:val="24"/>
          <w:lang w:val="en-GB"/>
        </w:rPr>
        <w:t>(Ban hành kèm theo Thông tư số 15/2022/TT-NHNN của Thống đốc Ngân hàng Nhà nước quy định về tái cấp vốn trên cơ sở trái phiếu đặc biệt của Công ty Quản lý tài sản của các tổ chức tín dụng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28"/>
        <w:gridCol w:w="6244"/>
      </w:tblGrid>
      <w:tr w:rsidR="00F75941" w:rsidTr="00F75941">
        <w:trPr>
          <w:tblCellSpacing w:w="0" w:type="dxa"/>
        </w:trPr>
        <w:tc>
          <w:tcPr>
            <w:tcW w:w="1850" w:type="pct"/>
            <w:shd w:val="clear" w:color="auto" w:fill="FFFFFF"/>
            <w:hideMark/>
          </w:tcPr>
          <w:p w:rsidR="00F75941" w:rsidRDefault="00F75941">
            <w:pPr>
              <w:spacing w:before="120" w:after="120" w:line="234" w:lineRule="atLeast"/>
              <w:jc w:val="center"/>
              <w:rPr>
                <w:rFonts w:ascii="Times New Roman" w:hAnsi="Times New Roman"/>
                <w:color w:val="000000"/>
                <w:sz w:val="24"/>
                <w:szCs w:val="24"/>
              </w:rPr>
            </w:pPr>
            <w:r>
              <w:rPr>
                <w:rFonts w:ascii="Times New Roman" w:hAnsi="Times New Roman"/>
                <w:b/>
                <w:bCs/>
                <w:color w:val="000000"/>
                <w:sz w:val="24"/>
                <w:szCs w:val="24"/>
                <w:lang w:val="en-GB"/>
              </w:rPr>
              <w:t>Tổ chức tín dụng</w:t>
            </w:r>
          </w:p>
        </w:tc>
        <w:tc>
          <w:tcPr>
            <w:tcW w:w="3100" w:type="pct"/>
            <w:shd w:val="clear" w:color="auto" w:fill="FFFFFF"/>
            <w:hideMark/>
          </w:tcPr>
          <w:p w:rsidR="00F75941" w:rsidRDefault="00F75941">
            <w:pPr>
              <w:spacing w:before="120" w:after="120" w:line="234" w:lineRule="atLeast"/>
              <w:jc w:val="center"/>
              <w:rPr>
                <w:rFonts w:ascii="Times New Roman" w:hAnsi="Times New Roman"/>
                <w:color w:val="000000"/>
                <w:sz w:val="24"/>
                <w:szCs w:val="24"/>
              </w:rPr>
            </w:pPr>
            <w:r>
              <w:rPr>
                <w:rFonts w:ascii="Times New Roman" w:hAnsi="Times New Roman"/>
                <w:b/>
                <w:bCs/>
                <w:color w:val="000000"/>
                <w:sz w:val="24"/>
                <w:szCs w:val="24"/>
                <w:lang w:val="en-GB"/>
              </w:rPr>
              <w:t>CỘNG HÒA XÃ HỘI CHỦ NGHĨA VIỆT NAM</w:t>
            </w:r>
            <w:r>
              <w:rPr>
                <w:rFonts w:ascii="Times New Roman" w:hAnsi="Times New Roman"/>
                <w:b/>
                <w:bCs/>
                <w:color w:val="000000"/>
                <w:sz w:val="24"/>
                <w:szCs w:val="24"/>
                <w:lang w:val="en-GB"/>
              </w:rPr>
              <w:br/>
              <w:t>Độc lập - Tự do - Hạnh phúc</w:t>
            </w:r>
            <w:r>
              <w:rPr>
                <w:rFonts w:ascii="Times New Roman" w:hAnsi="Times New Roman"/>
                <w:b/>
                <w:bCs/>
                <w:color w:val="000000"/>
                <w:sz w:val="24"/>
                <w:szCs w:val="24"/>
                <w:lang w:val="en-GB"/>
              </w:rPr>
              <w:br/>
              <w:t>---------------</w:t>
            </w:r>
          </w:p>
        </w:tc>
      </w:tr>
      <w:tr w:rsidR="00F75941" w:rsidTr="00F75941">
        <w:trPr>
          <w:tblCellSpacing w:w="0" w:type="dxa"/>
        </w:trPr>
        <w:tc>
          <w:tcPr>
            <w:tcW w:w="1850" w:type="pct"/>
            <w:shd w:val="clear" w:color="auto" w:fill="FFFFFF"/>
            <w:hideMark/>
          </w:tcPr>
          <w:p w:rsidR="00F75941" w:rsidRDefault="00F75941">
            <w:pPr>
              <w:spacing w:before="120" w:after="120" w:line="234" w:lineRule="atLeast"/>
              <w:jc w:val="center"/>
              <w:rPr>
                <w:rFonts w:ascii="Times New Roman" w:hAnsi="Times New Roman"/>
                <w:color w:val="000000"/>
                <w:sz w:val="24"/>
                <w:szCs w:val="24"/>
              </w:rPr>
            </w:pPr>
            <w:r>
              <w:rPr>
                <w:rFonts w:ascii="Times New Roman" w:hAnsi="Times New Roman"/>
                <w:color w:val="000000"/>
                <w:sz w:val="24"/>
                <w:szCs w:val="24"/>
                <w:lang w:val="en-GB"/>
              </w:rPr>
              <w:t>Số văn bản:….</w:t>
            </w:r>
          </w:p>
        </w:tc>
        <w:tc>
          <w:tcPr>
            <w:tcW w:w="3100" w:type="pct"/>
            <w:shd w:val="clear" w:color="auto" w:fill="FFFFFF"/>
            <w:hideMark/>
          </w:tcPr>
          <w:p w:rsidR="00F75941" w:rsidRDefault="00F75941">
            <w:pPr>
              <w:spacing w:before="120" w:after="120" w:line="234" w:lineRule="atLeast"/>
              <w:jc w:val="center"/>
              <w:rPr>
                <w:rFonts w:ascii="Times New Roman" w:hAnsi="Times New Roman"/>
                <w:color w:val="000000"/>
                <w:sz w:val="24"/>
                <w:szCs w:val="24"/>
              </w:rPr>
            </w:pPr>
            <w:r>
              <w:rPr>
                <w:rFonts w:ascii="Times New Roman" w:hAnsi="Times New Roman"/>
                <w:i/>
                <w:iCs/>
                <w:color w:val="000000"/>
                <w:sz w:val="24"/>
                <w:szCs w:val="24"/>
                <w:lang w:val="en-GB"/>
              </w:rPr>
              <w:t>......, ngày ... tháng ... năm ...</w:t>
            </w:r>
          </w:p>
        </w:tc>
      </w:tr>
    </w:tbl>
    <w:p w:rsidR="00F75941" w:rsidRDefault="00F75941" w:rsidP="00F75941">
      <w:pPr>
        <w:shd w:val="clear" w:color="auto" w:fill="FFFFFF"/>
        <w:spacing w:after="0" w:line="234" w:lineRule="atLeast"/>
        <w:jc w:val="center"/>
        <w:rPr>
          <w:rFonts w:ascii="Times New Roman" w:hAnsi="Times New Roman"/>
          <w:color w:val="000000"/>
          <w:sz w:val="24"/>
          <w:szCs w:val="24"/>
        </w:rPr>
      </w:pPr>
      <w:bookmarkStart w:id="1" w:name="chuong_pl_2_name"/>
      <w:r>
        <w:rPr>
          <w:rFonts w:ascii="Times New Roman" w:hAnsi="Times New Roman"/>
          <w:b/>
          <w:bCs/>
          <w:color w:val="000000"/>
          <w:sz w:val="24"/>
          <w:szCs w:val="24"/>
          <w:lang w:val="en-GB"/>
        </w:rPr>
        <w:t>GIẤY ĐỀ NGHỊ VAY TÁI CẤP VỐN</w:t>
      </w:r>
      <w:bookmarkEnd w:id="1"/>
    </w:p>
    <w:p w:rsidR="00F75941" w:rsidRDefault="00F75941" w:rsidP="00F75941">
      <w:pPr>
        <w:shd w:val="clear" w:color="auto" w:fill="FFFFFF"/>
        <w:spacing w:after="0" w:line="234" w:lineRule="atLeast"/>
        <w:jc w:val="center"/>
        <w:rPr>
          <w:rFonts w:ascii="Times New Roman" w:hAnsi="Times New Roman"/>
          <w:color w:val="000000"/>
          <w:sz w:val="24"/>
          <w:szCs w:val="24"/>
        </w:rPr>
      </w:pPr>
      <w:bookmarkStart w:id="2" w:name="chuong_pl_2_name_name"/>
      <w:r>
        <w:rPr>
          <w:rFonts w:ascii="Times New Roman" w:hAnsi="Times New Roman"/>
          <w:b/>
          <w:bCs/>
          <w:color w:val="000000"/>
          <w:sz w:val="24"/>
          <w:szCs w:val="24"/>
          <w:lang w:val="en-GB"/>
        </w:rPr>
        <w:t>Trên cơ sở trái phiếu đặc biệt của Công ty Quản lý tài sản của các tổ chức tín dụng Việt Nam</w:t>
      </w:r>
      <w:bookmarkEnd w:id="2"/>
    </w:p>
    <w:p w:rsidR="00F75941" w:rsidRDefault="00F75941" w:rsidP="00F75941">
      <w:pPr>
        <w:shd w:val="clear" w:color="auto" w:fill="FFFFFF"/>
        <w:spacing w:before="120" w:after="120" w:line="234" w:lineRule="atLeast"/>
        <w:jc w:val="center"/>
        <w:rPr>
          <w:rFonts w:ascii="Times New Roman" w:hAnsi="Times New Roman"/>
          <w:color w:val="000000"/>
          <w:sz w:val="24"/>
          <w:szCs w:val="24"/>
        </w:rPr>
      </w:pPr>
      <w:r>
        <w:rPr>
          <w:rFonts w:ascii="Times New Roman" w:hAnsi="Times New Roman"/>
          <w:b/>
          <w:bCs/>
          <w:color w:val="000000"/>
          <w:sz w:val="24"/>
          <w:szCs w:val="24"/>
          <w:lang w:val="en-GB"/>
        </w:rPr>
        <w:t>Kính gửi: </w:t>
      </w:r>
      <w:r>
        <w:rPr>
          <w:rFonts w:ascii="Times New Roman" w:hAnsi="Times New Roman"/>
          <w:color w:val="000000"/>
          <w:sz w:val="24"/>
          <w:szCs w:val="24"/>
          <w:lang w:val="en-GB"/>
        </w:rPr>
        <w:t>Ngân hàng Nhà nước Việt Nam (qua Vụ Chính sách tiền tệ)</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Tên tổ chức tín dụng: …</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Địa chỉ: ………………Điện thoại: … …………………..Fax:……………………………….</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Số hiệu tài khoản bằng VND: … tại Sở Giao dịch Ngân hàng Nhà nước Việt Nam</w:t>
      </w:r>
    </w:p>
    <w:p w:rsidR="00F75941" w:rsidRDefault="00F75941" w:rsidP="00F75941">
      <w:pPr>
        <w:shd w:val="clear" w:color="auto" w:fill="FFFFFF"/>
        <w:spacing w:after="0" w:line="234" w:lineRule="atLeast"/>
        <w:rPr>
          <w:rFonts w:ascii="Times New Roman" w:hAnsi="Times New Roman"/>
          <w:color w:val="000000"/>
          <w:sz w:val="24"/>
          <w:szCs w:val="24"/>
        </w:rPr>
      </w:pPr>
      <w:r>
        <w:rPr>
          <w:rFonts w:ascii="Times New Roman" w:hAnsi="Times New Roman"/>
          <w:color w:val="000000"/>
          <w:sz w:val="24"/>
          <w:szCs w:val="24"/>
          <w:lang w:val="en-GB"/>
        </w:rPr>
        <w:t>Căn cứ Nghị định số </w:t>
      </w:r>
      <w:bookmarkStart w:id="3" w:name="tvpllink_wqgzyndksu_5"/>
      <w:r>
        <w:rPr>
          <w:rFonts w:ascii="Times New Roman" w:hAnsi="Times New Roman"/>
          <w:color w:val="000000"/>
          <w:sz w:val="24"/>
          <w:szCs w:val="24"/>
          <w:lang w:val="en-GB"/>
        </w:rPr>
        <w:fldChar w:fldCharType="begin"/>
      </w:r>
      <w:r>
        <w:rPr>
          <w:rFonts w:ascii="Times New Roman" w:hAnsi="Times New Roman"/>
          <w:color w:val="000000"/>
          <w:sz w:val="24"/>
          <w:szCs w:val="24"/>
          <w:lang w:val="en-GB"/>
        </w:rPr>
        <w:instrText xml:space="preserve"> HYPERLINK "https://thuvienphapluat.vn/van-ban/doanh-nghiep/nghi-dinh-53-2013-nd-cp-hoat-dong-cong-ty-quan-ly-tai-san-to-chuc-tin-dung-188947.aspx" \t "_blank" </w:instrText>
      </w:r>
      <w:r>
        <w:rPr>
          <w:rFonts w:ascii="Times New Roman" w:hAnsi="Times New Roman"/>
          <w:color w:val="000000"/>
          <w:sz w:val="24"/>
          <w:szCs w:val="24"/>
          <w:lang w:val="en-GB"/>
        </w:rPr>
        <w:fldChar w:fldCharType="separate"/>
      </w:r>
      <w:r>
        <w:rPr>
          <w:rStyle w:val="Hyperlink"/>
          <w:rFonts w:ascii="Times New Roman" w:hAnsi="Times New Roman"/>
          <w:color w:val="0E70C3"/>
          <w:sz w:val="24"/>
          <w:szCs w:val="24"/>
          <w:u w:val="none"/>
          <w:lang w:val="en-GB"/>
        </w:rPr>
        <w:t>53/2013/NĐ-CP</w:t>
      </w:r>
      <w:r>
        <w:rPr>
          <w:rFonts w:ascii="Times New Roman" w:hAnsi="Times New Roman"/>
          <w:color w:val="000000"/>
          <w:sz w:val="24"/>
          <w:szCs w:val="24"/>
          <w:lang w:val="en-GB"/>
        </w:rPr>
        <w:fldChar w:fldCharType="end"/>
      </w:r>
      <w:bookmarkEnd w:id="3"/>
      <w:r>
        <w:rPr>
          <w:rFonts w:ascii="Times New Roman" w:hAnsi="Times New Roman"/>
          <w:color w:val="000000"/>
          <w:sz w:val="24"/>
          <w:szCs w:val="24"/>
          <w:lang w:val="en-GB"/>
        </w:rPr>
        <w:t> ngày 18 tháng 5 năm 2013 của Chính phủ quy định về thành lập, tổ chức và hoạt động của Công ty Quản lý tài sản của các tổ chức tín dụng Việt Nam và các văn bản sửa đổi, bổ sung;</w:t>
      </w:r>
    </w:p>
    <w:p w:rsidR="00F75941" w:rsidRDefault="00F75941" w:rsidP="00F75941">
      <w:pPr>
        <w:shd w:val="clear" w:color="auto" w:fill="FFFFFF"/>
        <w:spacing w:after="0" w:line="234" w:lineRule="atLeast"/>
        <w:rPr>
          <w:rFonts w:ascii="Times New Roman" w:hAnsi="Times New Roman"/>
          <w:color w:val="000000"/>
          <w:sz w:val="24"/>
          <w:szCs w:val="24"/>
        </w:rPr>
      </w:pPr>
      <w:r>
        <w:rPr>
          <w:rFonts w:ascii="Times New Roman" w:hAnsi="Times New Roman"/>
          <w:color w:val="000000"/>
          <w:sz w:val="24"/>
          <w:szCs w:val="24"/>
          <w:lang w:val="en-GB"/>
        </w:rPr>
        <w:t>Căn cứ Thông tư số </w:t>
      </w:r>
      <w:bookmarkStart w:id="4" w:name="tvpllink_quzufkydpa"/>
      <w:r>
        <w:rPr>
          <w:rFonts w:ascii="Times New Roman" w:hAnsi="Times New Roman"/>
          <w:color w:val="000000"/>
          <w:sz w:val="24"/>
          <w:szCs w:val="24"/>
          <w:lang w:val="en-GB"/>
        </w:rPr>
        <w:fldChar w:fldCharType="begin"/>
      </w:r>
      <w:r>
        <w:rPr>
          <w:rFonts w:ascii="Times New Roman" w:hAnsi="Times New Roman"/>
          <w:color w:val="000000"/>
          <w:sz w:val="24"/>
          <w:szCs w:val="24"/>
          <w:lang w:val="en-GB"/>
        </w:rPr>
        <w:instrText xml:space="preserve"> HYPERLINK "https://thuvienphapluat.vn/van-ban/Tien-te-Ngan-hang/Thong-tu-15-2022-TT-NHNN-tai-cap-von-Cong-ty-Quan-ly-tai-san-cua-cac-to-chuc-tin-dung-Viet-Nam-543216.aspx" \t "_blank" </w:instrText>
      </w:r>
      <w:r>
        <w:rPr>
          <w:rFonts w:ascii="Times New Roman" w:hAnsi="Times New Roman"/>
          <w:color w:val="000000"/>
          <w:sz w:val="24"/>
          <w:szCs w:val="24"/>
          <w:lang w:val="en-GB"/>
        </w:rPr>
        <w:fldChar w:fldCharType="separate"/>
      </w:r>
      <w:r>
        <w:rPr>
          <w:rStyle w:val="Hyperlink"/>
          <w:rFonts w:ascii="Times New Roman" w:hAnsi="Times New Roman"/>
          <w:color w:val="0E70C3"/>
          <w:sz w:val="24"/>
          <w:szCs w:val="24"/>
          <w:u w:val="none"/>
          <w:lang w:val="en-GB"/>
        </w:rPr>
        <w:t>15/2022/TT-NHNN</w:t>
      </w:r>
      <w:r>
        <w:rPr>
          <w:rFonts w:ascii="Times New Roman" w:hAnsi="Times New Roman"/>
          <w:color w:val="000000"/>
          <w:sz w:val="24"/>
          <w:szCs w:val="24"/>
          <w:lang w:val="en-GB"/>
        </w:rPr>
        <w:fldChar w:fldCharType="end"/>
      </w:r>
      <w:bookmarkEnd w:id="4"/>
      <w:r>
        <w:rPr>
          <w:rFonts w:ascii="Times New Roman" w:hAnsi="Times New Roman"/>
          <w:color w:val="000000"/>
          <w:sz w:val="24"/>
          <w:szCs w:val="24"/>
          <w:lang w:val="en-GB"/>
        </w:rPr>
        <w:t> ngày 30 tháng 11 năm 2022 của Thống đốc Ngân hàng Nhà nước Việt Nam quy định về tái cấp vốn trên cơ sở trái phiếu đặc biệt của Công ty Quản lý tài sản của các tổ chức tín dụng Việt Nam;</w:t>
      </w:r>
    </w:p>
    <w:p w:rsidR="00F75941" w:rsidRDefault="00F75941" w:rsidP="00F75941">
      <w:pPr>
        <w:shd w:val="clear" w:color="auto" w:fill="FFFFFF"/>
        <w:spacing w:after="0" w:line="234" w:lineRule="atLeast"/>
        <w:rPr>
          <w:rFonts w:ascii="Times New Roman" w:hAnsi="Times New Roman"/>
          <w:color w:val="000000"/>
          <w:sz w:val="24"/>
          <w:szCs w:val="24"/>
        </w:rPr>
      </w:pPr>
      <w:r>
        <w:rPr>
          <w:rFonts w:ascii="Times New Roman" w:hAnsi="Times New Roman"/>
          <w:color w:val="000000"/>
          <w:sz w:val="24"/>
          <w:szCs w:val="24"/>
          <w:lang w:val="en-GB"/>
        </w:rPr>
        <w:t>I/ Tổ chức tín dụng … đề nghị Ngân hàng Nhà nước Việt Nam tái cấp vốn trên cơ sở trái phiếu đặc biệt của Công ty Quản lý tài sản của các tổ chức tín dụng Việt Nam (VAMC) nhằm hỗ trợ nguồn vốn hoạt động của tổ chức tín dụng trong quá trình xử lý nợ xấu theo Nghị định số </w:t>
      </w:r>
      <w:bookmarkStart w:id="5" w:name="tvpllink_wqgzyndksu_6"/>
      <w:r>
        <w:rPr>
          <w:rFonts w:ascii="Times New Roman" w:hAnsi="Times New Roman"/>
          <w:color w:val="000000"/>
          <w:sz w:val="24"/>
          <w:szCs w:val="24"/>
          <w:lang w:val="en-GB"/>
        </w:rPr>
        <w:fldChar w:fldCharType="begin"/>
      </w:r>
      <w:r>
        <w:rPr>
          <w:rFonts w:ascii="Times New Roman" w:hAnsi="Times New Roman"/>
          <w:color w:val="000000"/>
          <w:sz w:val="24"/>
          <w:szCs w:val="24"/>
          <w:lang w:val="en-GB"/>
        </w:rPr>
        <w:instrText xml:space="preserve"> HYPERLINK "https://thuvienphapluat.vn/van-ban/doanh-nghiep/nghi-dinh-53-2013-nd-cp-hoat-dong-cong-ty-quan-ly-tai-san-to-chuc-tin-dung-188947.aspx" \t "_blank" </w:instrText>
      </w:r>
      <w:r>
        <w:rPr>
          <w:rFonts w:ascii="Times New Roman" w:hAnsi="Times New Roman"/>
          <w:color w:val="000000"/>
          <w:sz w:val="24"/>
          <w:szCs w:val="24"/>
          <w:lang w:val="en-GB"/>
        </w:rPr>
        <w:fldChar w:fldCharType="separate"/>
      </w:r>
      <w:r>
        <w:rPr>
          <w:rStyle w:val="Hyperlink"/>
          <w:rFonts w:ascii="Times New Roman" w:hAnsi="Times New Roman"/>
          <w:color w:val="0E70C3"/>
          <w:sz w:val="24"/>
          <w:szCs w:val="24"/>
          <w:u w:val="none"/>
          <w:lang w:val="en-GB"/>
        </w:rPr>
        <w:t>53/2013/NĐ-CP</w:t>
      </w:r>
      <w:r>
        <w:rPr>
          <w:rFonts w:ascii="Times New Roman" w:hAnsi="Times New Roman"/>
          <w:color w:val="000000"/>
          <w:sz w:val="24"/>
          <w:szCs w:val="24"/>
          <w:lang w:val="en-GB"/>
        </w:rPr>
        <w:fldChar w:fldCharType="end"/>
      </w:r>
      <w:bookmarkEnd w:id="5"/>
      <w:r>
        <w:rPr>
          <w:rFonts w:ascii="Times New Roman" w:hAnsi="Times New Roman"/>
          <w:color w:val="000000"/>
          <w:sz w:val="24"/>
          <w:szCs w:val="24"/>
          <w:lang w:val="en-GB"/>
        </w:rPr>
        <w:t> và các văn bản sửa đổi, bổ sung như sau:</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1. Số tiền đề nghị vay: (bằng số) … đồng, (bằng chữ) … đồng</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2. Lãi suất: …</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3. Thời hạn: …</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4. Tổng mệnh giá trái phiếu đặc biệt làm cơ sở tái cấp vốn: … đồng (theo Bảng kê số … ngày …/…/… đính kèm).</w:t>
      </w:r>
    </w:p>
    <w:p w:rsidR="00F75941" w:rsidRDefault="00F75941" w:rsidP="00F75941">
      <w:pPr>
        <w:shd w:val="clear" w:color="auto" w:fill="FFFFFF"/>
        <w:spacing w:after="0" w:line="234" w:lineRule="atLeast"/>
        <w:rPr>
          <w:rFonts w:ascii="Times New Roman" w:hAnsi="Times New Roman"/>
          <w:color w:val="000000"/>
          <w:sz w:val="24"/>
          <w:szCs w:val="24"/>
        </w:rPr>
      </w:pPr>
      <w:r>
        <w:rPr>
          <w:rFonts w:ascii="Times New Roman" w:hAnsi="Times New Roman"/>
          <w:color w:val="000000"/>
          <w:sz w:val="24"/>
          <w:szCs w:val="24"/>
          <w:lang w:val="en-GB"/>
        </w:rPr>
        <w:t>II/ Tổ chức tín dụng cam kết đáp ứng đầy đủ các điều kiện tái cấp vốn quy định tại Thông tư số </w:t>
      </w:r>
      <w:bookmarkStart w:id="6" w:name="tvpllink_quzufkydpa_1"/>
      <w:r>
        <w:rPr>
          <w:rFonts w:ascii="Times New Roman" w:hAnsi="Times New Roman"/>
          <w:color w:val="000000"/>
          <w:sz w:val="24"/>
          <w:szCs w:val="24"/>
          <w:lang w:val="en-GB"/>
        </w:rPr>
        <w:fldChar w:fldCharType="begin"/>
      </w:r>
      <w:r>
        <w:rPr>
          <w:rFonts w:ascii="Times New Roman" w:hAnsi="Times New Roman"/>
          <w:color w:val="000000"/>
          <w:sz w:val="24"/>
          <w:szCs w:val="24"/>
          <w:lang w:val="en-GB"/>
        </w:rPr>
        <w:instrText xml:space="preserve"> HYPERLINK "https://thuvienphapluat.vn/van-ban/Tien-te-Ngan-hang/Thong-tu-15-2022-TT-NHNN-tai-cap-von-Cong-ty-Quan-ly-tai-san-cua-cac-to-chuc-tin-dung-Viet-Nam-543216.aspx" \t "_blank" </w:instrText>
      </w:r>
      <w:r>
        <w:rPr>
          <w:rFonts w:ascii="Times New Roman" w:hAnsi="Times New Roman"/>
          <w:color w:val="000000"/>
          <w:sz w:val="24"/>
          <w:szCs w:val="24"/>
          <w:lang w:val="en-GB"/>
        </w:rPr>
        <w:fldChar w:fldCharType="separate"/>
      </w:r>
      <w:r>
        <w:rPr>
          <w:rStyle w:val="Hyperlink"/>
          <w:rFonts w:ascii="Times New Roman" w:hAnsi="Times New Roman"/>
          <w:color w:val="0E70C3"/>
          <w:sz w:val="24"/>
          <w:szCs w:val="24"/>
          <w:u w:val="none"/>
          <w:lang w:val="en-GB"/>
        </w:rPr>
        <w:t>15/2022/TT-NHNN</w:t>
      </w:r>
      <w:r>
        <w:rPr>
          <w:rFonts w:ascii="Times New Roman" w:hAnsi="Times New Roman"/>
          <w:color w:val="000000"/>
          <w:sz w:val="24"/>
          <w:szCs w:val="24"/>
          <w:lang w:val="en-GB"/>
        </w:rPr>
        <w:fldChar w:fldCharType="end"/>
      </w:r>
      <w:bookmarkEnd w:id="6"/>
      <w:r>
        <w:rPr>
          <w:rFonts w:ascii="Times New Roman" w:hAnsi="Times New Roman"/>
          <w:color w:val="000000"/>
          <w:sz w:val="24"/>
          <w:szCs w:val="24"/>
          <w:lang w:val="en-GB"/>
        </w:rPr>
        <w:t> như sau:</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1. Tổ chức tín dụng không </w:t>
      </w:r>
      <w:r>
        <w:rPr>
          <w:rFonts w:ascii="Times New Roman" w:hAnsi="Times New Roman"/>
          <w:color w:val="000000"/>
          <w:sz w:val="24"/>
          <w:szCs w:val="24"/>
          <w:lang w:val="vi-VN"/>
        </w:rPr>
        <w:t>trong thời gian</w:t>
      </w:r>
      <w:r>
        <w:rPr>
          <w:rFonts w:ascii="Times New Roman" w:hAnsi="Times New Roman"/>
          <w:color w:val="000000"/>
          <w:sz w:val="24"/>
          <w:szCs w:val="24"/>
          <w:lang w:val="en-GB"/>
        </w:rPr>
        <w:t> được kiểm soát đặc biệt</w:t>
      </w:r>
      <w:r>
        <w:rPr>
          <w:rFonts w:ascii="Times New Roman" w:hAnsi="Times New Roman"/>
          <w:color w:val="000000"/>
          <w:sz w:val="24"/>
          <w:szCs w:val="24"/>
          <w:lang w:val="vi-VN"/>
        </w:rPr>
        <w:t> hoặc bị xử lý vi phạm theo quy định tại Điều 1</w:t>
      </w:r>
      <w:r>
        <w:rPr>
          <w:rFonts w:ascii="Times New Roman" w:hAnsi="Times New Roman"/>
          <w:color w:val="000000"/>
          <w:sz w:val="24"/>
          <w:szCs w:val="24"/>
        </w:rPr>
        <w:t>5</w:t>
      </w:r>
      <w:r>
        <w:rPr>
          <w:rFonts w:ascii="Times New Roman" w:hAnsi="Times New Roman"/>
          <w:color w:val="000000"/>
          <w:sz w:val="24"/>
          <w:szCs w:val="24"/>
          <w:lang w:val="vi-VN"/>
        </w:rPr>
        <w:t> Thông tư</w:t>
      </w:r>
      <w:r>
        <w:rPr>
          <w:rFonts w:ascii="Times New Roman" w:hAnsi="Times New Roman"/>
          <w:color w:val="000000"/>
          <w:sz w:val="24"/>
          <w:szCs w:val="24"/>
        </w:rPr>
        <w:t> số </w:t>
      </w:r>
      <w:r>
        <w:rPr>
          <w:rFonts w:ascii="Times New Roman" w:hAnsi="Times New Roman"/>
          <w:color w:val="000000"/>
          <w:sz w:val="24"/>
          <w:szCs w:val="24"/>
          <w:lang w:val="en-GB"/>
        </w:rPr>
        <w:t>15/2022/TT-NHNN.</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2. Tổ chức tín dụng đã trích lập dự phòng rủi ro đối với tất cả trái phiếu đặc biệt đang sở hữu theo quy định của pháp luật hoặc văn bản chấp thuận của cấp có thẩm quyền </w:t>
      </w:r>
      <w:r>
        <w:rPr>
          <w:rFonts w:ascii="Times New Roman" w:hAnsi="Times New Roman"/>
          <w:color w:val="000000"/>
          <w:sz w:val="24"/>
          <w:szCs w:val="24"/>
        </w:rPr>
        <w:t>trong vòng 12 tháng liền kề trước ngày tổ chức tín dụng có Giấy đề nghị vay tái cấp vốn</w:t>
      </w:r>
      <w:r>
        <w:rPr>
          <w:rFonts w:ascii="Times New Roman" w:hAnsi="Times New Roman"/>
          <w:color w:val="000000"/>
          <w:sz w:val="24"/>
          <w:szCs w:val="24"/>
          <w:lang w:val="vi-VN"/>
        </w:rPr>
        <w:t>.</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vi-VN"/>
        </w:rPr>
        <w:lastRenderedPageBreak/>
        <w:t>3. </w:t>
      </w:r>
      <w:r>
        <w:rPr>
          <w:rFonts w:ascii="Times New Roman" w:hAnsi="Times New Roman"/>
          <w:color w:val="000000"/>
          <w:sz w:val="24"/>
          <w:szCs w:val="24"/>
        </w:rPr>
        <w:t>Tổ chức tín dụng tuân thủ các tỷ lệ bảo đảm an toàn theo quy định tại khoản 1 Điều 130 Luật Các tổ chức tín dụng (đã được sửa đổi, bổ sung) và quy định của Ngân hàng Nhà nước trong vòng 12 tháng liền kề trước ngày </w:t>
      </w:r>
      <w:r>
        <w:rPr>
          <w:rFonts w:ascii="Times New Roman" w:hAnsi="Times New Roman"/>
          <w:color w:val="000000"/>
          <w:sz w:val="24"/>
          <w:szCs w:val="24"/>
          <w:lang w:val="en-GB"/>
        </w:rPr>
        <w:t>tổ chức tín dụng</w:t>
      </w:r>
      <w:r>
        <w:rPr>
          <w:rFonts w:ascii="Times New Roman" w:hAnsi="Times New Roman"/>
          <w:color w:val="000000"/>
          <w:sz w:val="24"/>
          <w:szCs w:val="24"/>
        </w:rPr>
        <w:t> có Giấy đề nghị vay tái cấp vốn.</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rPr>
        <w:t>4. </w:t>
      </w:r>
      <w:r>
        <w:rPr>
          <w:rFonts w:ascii="Times New Roman" w:hAnsi="Times New Roman"/>
          <w:color w:val="000000"/>
          <w:sz w:val="24"/>
          <w:szCs w:val="24"/>
          <w:lang w:val="vi-VN"/>
        </w:rPr>
        <w:t>Trái phiếu đặc biệt làm cơ sở tái cấp vốn đáp </w:t>
      </w:r>
      <w:r>
        <w:rPr>
          <w:rFonts w:ascii="Times New Roman" w:hAnsi="Times New Roman"/>
          <w:color w:val="000000"/>
          <w:sz w:val="24"/>
          <w:szCs w:val="24"/>
          <w:lang w:val="en-GB"/>
        </w:rPr>
        <w:t>ứng đầy đủ điều kiện quy định tại Điều 4 Thông tư số 15/2022/TT-NHNN.</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i/>
          <w:iCs/>
          <w:color w:val="000000"/>
          <w:sz w:val="24"/>
          <w:szCs w:val="24"/>
        </w:rPr>
        <w:t>Giấy đề nghị vay tái cấp vốn này thay thế Giấy đề nghị vay tái cấp vốn số......... ngày..... tháng.......năm.........</w:t>
      </w:r>
      <w:r>
        <w:rPr>
          <w:rFonts w:ascii="Times New Roman" w:hAnsi="Times New Roman"/>
          <w:color w:val="000000"/>
          <w:sz w:val="24"/>
          <w:szCs w:val="24"/>
        </w:rPr>
        <w:t> (đối với trường hợp tổ chức tín dụng cập nhật hồ sơ đề nghị vay tái cấp vốn).</w:t>
      </w:r>
    </w:p>
    <w:p w:rsidR="00F75941" w:rsidRDefault="00F75941" w:rsidP="00F75941">
      <w:p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lang w:val="en-GB"/>
        </w:rPr>
        <w:t>Tổ chức tín dụng … cam kết sử dụng vốn vay tái cấp vốn hợp pháp và tự chịu trách nhiệm về mục đích sử dụng vốn của khoản tái cấp vốn; chịu hoàn toàn trách nhiệm về các thông tin, số liệu tại hồ sơ đề nghị vay tái cấp vốn là đúng sự thật và tuân thủ các quy định về tái cấp vốn trên cơ sở trái phiếu đặc biệt của VAMC./.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75941" w:rsidTr="00F75941">
        <w:trPr>
          <w:tblCellSpacing w:w="0" w:type="dxa"/>
        </w:trPr>
        <w:tc>
          <w:tcPr>
            <w:tcW w:w="4428" w:type="dxa"/>
            <w:shd w:val="clear" w:color="auto" w:fill="FFFFFF"/>
            <w:tcMar>
              <w:top w:w="0" w:type="dxa"/>
              <w:left w:w="108" w:type="dxa"/>
              <w:bottom w:w="0" w:type="dxa"/>
              <w:right w:w="108" w:type="dxa"/>
            </w:tcMar>
            <w:hideMark/>
          </w:tcPr>
          <w:p w:rsidR="00F75941" w:rsidRDefault="00F75941">
            <w:pPr>
              <w:spacing w:before="120" w:after="120" w:line="234" w:lineRule="atLeast"/>
              <w:rPr>
                <w:rFonts w:ascii="Times New Roman" w:hAnsi="Times New Roman"/>
                <w:color w:val="000000"/>
                <w:sz w:val="24"/>
                <w:szCs w:val="24"/>
              </w:rPr>
            </w:pPr>
            <w:r>
              <w:rPr>
                <w:rFonts w:ascii="Times New Roman" w:hAnsi="Times New Roman"/>
                <w:b/>
                <w:bCs/>
                <w:i/>
                <w:iCs/>
                <w:color w:val="000000"/>
                <w:sz w:val="24"/>
                <w:szCs w:val="24"/>
              </w:rPr>
              <w:br/>
              <w:t>Nơi nhận:</w:t>
            </w:r>
            <w:r>
              <w:rPr>
                <w:rFonts w:ascii="Times New Roman" w:hAnsi="Times New Roman"/>
                <w:b/>
                <w:bCs/>
                <w:i/>
                <w:iCs/>
                <w:color w:val="000000"/>
                <w:sz w:val="24"/>
                <w:szCs w:val="24"/>
              </w:rPr>
              <w:br/>
            </w:r>
            <w:r>
              <w:rPr>
                <w:rFonts w:ascii="Times New Roman" w:hAnsi="Times New Roman"/>
                <w:color w:val="000000"/>
                <w:sz w:val="24"/>
                <w:szCs w:val="24"/>
                <w:lang w:val="en-GB"/>
              </w:rPr>
              <w:t>- Như trên;</w:t>
            </w:r>
            <w:r>
              <w:rPr>
                <w:rFonts w:ascii="Times New Roman" w:hAnsi="Times New Roman"/>
                <w:color w:val="000000"/>
                <w:sz w:val="24"/>
                <w:szCs w:val="24"/>
                <w:lang w:val="en-GB"/>
              </w:rPr>
              <w:br/>
              <w:t>- Lưu: ...</w:t>
            </w:r>
          </w:p>
        </w:tc>
        <w:tc>
          <w:tcPr>
            <w:tcW w:w="4428" w:type="dxa"/>
            <w:shd w:val="clear" w:color="auto" w:fill="FFFFFF"/>
            <w:tcMar>
              <w:top w:w="0" w:type="dxa"/>
              <w:left w:w="108" w:type="dxa"/>
              <w:bottom w:w="0" w:type="dxa"/>
              <w:right w:w="108" w:type="dxa"/>
            </w:tcMar>
            <w:hideMark/>
          </w:tcPr>
          <w:p w:rsidR="00F75941" w:rsidRDefault="00F75941">
            <w:pPr>
              <w:spacing w:before="120" w:after="120" w:line="234" w:lineRule="atLeast"/>
              <w:jc w:val="center"/>
              <w:rPr>
                <w:rFonts w:ascii="Times New Roman" w:hAnsi="Times New Roman"/>
                <w:color w:val="000000"/>
                <w:sz w:val="24"/>
                <w:szCs w:val="24"/>
              </w:rPr>
            </w:pPr>
            <w:r>
              <w:rPr>
                <w:rFonts w:ascii="Times New Roman" w:hAnsi="Times New Roman"/>
                <w:b/>
                <w:bCs/>
                <w:color w:val="000000"/>
                <w:sz w:val="24"/>
                <w:szCs w:val="24"/>
                <w:lang w:val="en-GB"/>
              </w:rPr>
              <w:t>Người đại diện hợp pháp</w:t>
            </w:r>
            <w:r>
              <w:rPr>
                <w:rFonts w:ascii="Times New Roman" w:hAnsi="Times New Roman"/>
                <w:b/>
                <w:bCs/>
                <w:color w:val="000000"/>
                <w:sz w:val="24"/>
                <w:szCs w:val="24"/>
                <w:lang w:val="en-GB"/>
              </w:rPr>
              <w:br/>
              <w:t>của tổ chức tín dụng</w:t>
            </w:r>
            <w:r>
              <w:rPr>
                <w:rFonts w:ascii="Times New Roman" w:hAnsi="Times New Roman"/>
                <w:b/>
                <w:bCs/>
                <w:color w:val="000000"/>
                <w:sz w:val="24"/>
                <w:szCs w:val="24"/>
                <w:lang w:val="en-GB"/>
              </w:rPr>
              <w:br/>
            </w:r>
            <w:r>
              <w:rPr>
                <w:rFonts w:ascii="Times New Roman" w:hAnsi="Times New Roman"/>
                <w:i/>
                <w:iCs/>
                <w:color w:val="000000"/>
                <w:sz w:val="24"/>
                <w:szCs w:val="24"/>
                <w:lang w:val="en-GB"/>
              </w:rPr>
              <w:t>(Ký, ghi rõ chức danh, họ tên và đóng dấu)</w:t>
            </w:r>
          </w:p>
        </w:tc>
      </w:tr>
    </w:tbl>
    <w:p w:rsidR="00F75941" w:rsidRDefault="00F75941" w:rsidP="00F75941">
      <w:pPr>
        <w:rPr>
          <w:rFonts w:ascii="Times New Roman" w:hAnsi="Times New Roman"/>
          <w:sz w:val="24"/>
          <w:szCs w:val="24"/>
        </w:rPr>
      </w:pPr>
    </w:p>
    <w:p w:rsidR="0059653C" w:rsidRDefault="0059653C">
      <w:bookmarkStart w:id="7" w:name="_GoBack"/>
      <w:bookmarkEnd w:id="7"/>
    </w:p>
    <w:sectPr w:rsidR="0059653C" w:rsidSect="00F75941">
      <w:pgSz w:w="12240" w:h="15840"/>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41"/>
    <w:rsid w:val="0059653C"/>
    <w:rsid w:val="005E1D2C"/>
    <w:rsid w:val="00F7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3F5E9-8DF2-498F-A7D5-33EBA3C4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4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2024-07-08T02:47:00Z</dcterms:created>
  <dcterms:modified xsi:type="dcterms:W3CDTF">2024-07-08T02:48:00Z</dcterms:modified>
</cp:coreProperties>
</file>