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b/>
          <w:bCs/>
          <w:color w:val="000000"/>
          <w:sz w:val="22"/>
          <w:lang w:val="vi-VN"/>
        </w:rPr>
        <w:t>PHỤ LỤC XV</w:t>
      </w:r>
    </w:p>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rPr>
        <w:t>MẪU NỘI DUNG HỒ SƠ THIẾT KẾ CẢI TẠO</w:t>
      </w:r>
      <w:r w:rsidRPr="007310A7">
        <w:rPr>
          <w:rFonts w:eastAsia="Arial Unicode MS" w:cs="Times New Roman"/>
          <w:color w:val="000000"/>
          <w:sz w:val="22"/>
        </w:rPr>
        <w:br/>
      </w:r>
      <w:r w:rsidRPr="007310A7">
        <w:rPr>
          <w:rFonts w:eastAsia="Arial Unicode MS" w:cs="Times New Roman"/>
          <w:i/>
          <w:iCs/>
          <w:color w:val="000000"/>
          <w:sz w:val="22"/>
          <w:lang w:val="vi-VN"/>
        </w:rPr>
        <w:t>(Ban hành kèm theo Thông tư số 89/2015/TT-BGTVT ngày 31 tháng 12 năm 2015 của Bộ trưởng Bộ Giao thông vận tải)</w:t>
      </w:r>
    </w:p>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b/>
          <w:bCs/>
          <w:color w:val="000000"/>
          <w:sz w:val="22"/>
          <w:lang w:val="vi-VN"/>
        </w:rPr>
        <w:t>NỘI DUNG HỒ S</w:t>
      </w:r>
      <w:r w:rsidRPr="007310A7">
        <w:rPr>
          <w:rFonts w:eastAsia="Arial Unicode MS" w:cs="Times New Roman"/>
          <w:b/>
          <w:bCs/>
          <w:color w:val="000000"/>
          <w:sz w:val="22"/>
        </w:rPr>
        <w:t xml:space="preserve">Ơ </w:t>
      </w:r>
      <w:r w:rsidRPr="007310A7">
        <w:rPr>
          <w:rFonts w:eastAsia="Arial Unicode MS" w:cs="Times New Roman"/>
          <w:b/>
          <w:bCs/>
          <w:color w:val="000000"/>
          <w:sz w:val="22"/>
          <w:lang w:val="vi-VN"/>
        </w:rPr>
        <w:t>THIẾT KẾ CẢI TẠO</w:t>
      </w:r>
    </w:p>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b/>
          <w:bCs/>
          <w:color w:val="000000"/>
          <w:sz w:val="22"/>
          <w:lang w:val="vi-VN"/>
        </w:rPr>
        <w:t>A. Thuyết minh thiết kế kỹ thuật Xe</w:t>
      </w:r>
    </w:p>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color w:val="000000"/>
          <w:sz w:val="22"/>
          <w:lang w:val="vi-VN"/>
        </w:rPr>
        <w:t>Thuyết minh thiết kế kỹ thuật Xe phải thể hiện được các nội dung cơ bản sau đây:</w:t>
      </w:r>
    </w:p>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color w:val="000000"/>
          <w:sz w:val="22"/>
          <w:lang w:val="vi-VN"/>
        </w:rPr>
        <w:t>1. Giới thiệu mục đích cải tạo: Trong phần này cần giới thiệu được mục đích của cải tạo và các yêu cầu mà thiết kế cải tạo cần phải đáp ứng.</w:t>
      </w:r>
    </w:p>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color w:val="000000"/>
          <w:sz w:val="22"/>
          <w:lang w:val="vi-VN"/>
        </w:rPr>
        <w:t>2. Đặc tính kỹ thuật cơ bản của Xe cải tạo trước và sau cải tạo.</w:t>
      </w:r>
    </w:p>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color w:val="000000"/>
          <w:sz w:val="22"/>
          <w:lang w:val="vi-VN"/>
        </w:rPr>
        <w:t>3. Tính toán các đặc tính động học, động lực học và kiểm nghiệm bền các chi tiết, tổng thành, hệ thống theo các nội dung sau:</w:t>
      </w:r>
    </w:p>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color w:val="000000"/>
          <w:sz w:val="22"/>
          <w:lang w:val="vi-VN"/>
        </w:rPr>
        <w:t xml:space="preserve">Thuyết minh thiết kế kỹ thuật Xe cải tạo được thể hiện trên giấy trắng khổ A4, có đóng dấu từng trang hoặc giáp lai; trang bìa có ký tên, đóng dấu của đại diện cơ sở thiết kế. Thuyết minh thiết kế bao gồm các nội dung sau: </w:t>
      </w:r>
    </w:p>
    <w:tbl>
      <w:tblPr>
        <w:tblW w:w="0" w:type="dxa"/>
        <w:tblCellMar>
          <w:left w:w="0" w:type="dxa"/>
          <w:right w:w="0" w:type="dxa"/>
        </w:tblCellMar>
        <w:tblLook w:val="04A0"/>
      </w:tblPr>
      <w:tblGrid>
        <w:gridCol w:w="713"/>
        <w:gridCol w:w="6005"/>
        <w:gridCol w:w="2329"/>
      </w:tblGrid>
      <w:tr w:rsidR="007310A7" w:rsidRPr="007310A7" w:rsidTr="007310A7">
        <w:tc>
          <w:tcPr>
            <w:tcW w:w="394" w:type="pct"/>
            <w:tcBorders>
              <w:top w:val="single" w:sz="8" w:space="0" w:color="auto"/>
              <w:left w:val="single" w:sz="8" w:space="0" w:color="auto"/>
              <w:bottom w:val="single" w:sz="8" w:space="0" w:color="auto"/>
              <w:right w:val="single" w:sz="8" w:space="0" w:color="auto"/>
            </w:tcBorders>
            <w:vAlign w:val="center"/>
            <w:hideMark/>
          </w:tcPr>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lang w:val="vi-VN"/>
              </w:rPr>
              <w:t>STT</w:t>
            </w:r>
          </w:p>
        </w:tc>
        <w:tc>
          <w:tcPr>
            <w:tcW w:w="3319" w:type="pct"/>
            <w:tcBorders>
              <w:top w:val="single" w:sz="8" w:space="0" w:color="auto"/>
              <w:left w:val="nil"/>
              <w:bottom w:val="single" w:sz="8" w:space="0" w:color="auto"/>
              <w:right w:val="single" w:sz="8" w:space="0" w:color="auto"/>
            </w:tcBorders>
            <w:vAlign w:val="center"/>
            <w:hideMark/>
          </w:tcPr>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lang w:val="vi-VN"/>
              </w:rPr>
              <w:t>Nội dung tính toán</w:t>
            </w:r>
          </w:p>
        </w:tc>
        <w:tc>
          <w:tcPr>
            <w:tcW w:w="1287" w:type="pct"/>
            <w:tcBorders>
              <w:top w:val="single" w:sz="8" w:space="0" w:color="auto"/>
              <w:left w:val="nil"/>
              <w:bottom w:val="single" w:sz="8" w:space="0" w:color="auto"/>
              <w:right w:val="single" w:sz="8" w:space="0" w:color="auto"/>
            </w:tcBorders>
            <w:vAlign w:val="center"/>
            <w:hideMark/>
          </w:tcPr>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lang w:val="vi-VN"/>
              </w:rPr>
              <w:t>Nội dung cải tạo</w:t>
            </w:r>
          </w:p>
        </w:tc>
      </w:tr>
      <w:tr w:rsidR="007310A7" w:rsidRPr="007310A7" w:rsidTr="007310A7">
        <w:tc>
          <w:tcPr>
            <w:tcW w:w="394" w:type="pct"/>
            <w:tcBorders>
              <w:top w:val="nil"/>
              <w:left w:val="single" w:sz="8" w:space="0" w:color="auto"/>
              <w:bottom w:val="single" w:sz="8" w:space="0" w:color="auto"/>
              <w:right w:val="single" w:sz="8" w:space="0" w:color="auto"/>
            </w:tcBorders>
            <w:vAlign w:val="center"/>
            <w:hideMark/>
          </w:tcPr>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lang w:val="vi-VN"/>
              </w:rPr>
              <w:t>1</w:t>
            </w:r>
          </w:p>
        </w:tc>
        <w:tc>
          <w:tcPr>
            <w:tcW w:w="3319" w:type="pct"/>
            <w:tcBorders>
              <w:top w:val="nil"/>
              <w:left w:val="nil"/>
              <w:bottom w:val="single" w:sz="8" w:space="0" w:color="auto"/>
              <w:right w:val="single" w:sz="8" w:space="0" w:color="auto"/>
            </w:tcBorders>
            <w:vAlign w:val="center"/>
            <w:hideMark/>
          </w:tcPr>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color w:val="000000"/>
                <w:sz w:val="22"/>
                <w:lang w:val="vi-VN"/>
              </w:rPr>
              <w:t>Tính toán cơ cấu di chuyển</w:t>
            </w:r>
          </w:p>
        </w:tc>
        <w:tc>
          <w:tcPr>
            <w:tcW w:w="1287" w:type="pct"/>
            <w:tcBorders>
              <w:top w:val="nil"/>
              <w:left w:val="nil"/>
              <w:bottom w:val="single" w:sz="8" w:space="0" w:color="auto"/>
              <w:right w:val="single" w:sz="8" w:space="0" w:color="auto"/>
            </w:tcBorders>
            <w:vAlign w:val="center"/>
            <w:hideMark/>
          </w:tcPr>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rPr>
              <w:t>---</w:t>
            </w:r>
          </w:p>
        </w:tc>
      </w:tr>
      <w:tr w:rsidR="007310A7" w:rsidRPr="007310A7" w:rsidTr="007310A7">
        <w:tc>
          <w:tcPr>
            <w:tcW w:w="394" w:type="pct"/>
            <w:tcBorders>
              <w:top w:val="nil"/>
              <w:left w:val="single" w:sz="8" w:space="0" w:color="auto"/>
              <w:bottom w:val="single" w:sz="8" w:space="0" w:color="auto"/>
              <w:right w:val="single" w:sz="8" w:space="0" w:color="auto"/>
            </w:tcBorders>
            <w:vAlign w:val="center"/>
            <w:hideMark/>
          </w:tcPr>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lang w:val="vi-VN"/>
              </w:rPr>
              <w:t>2</w:t>
            </w:r>
          </w:p>
        </w:tc>
        <w:tc>
          <w:tcPr>
            <w:tcW w:w="3319" w:type="pct"/>
            <w:tcBorders>
              <w:top w:val="nil"/>
              <w:left w:val="nil"/>
              <w:bottom w:val="single" w:sz="8" w:space="0" w:color="auto"/>
              <w:right w:val="single" w:sz="8" w:space="0" w:color="auto"/>
            </w:tcBorders>
            <w:vAlign w:val="center"/>
            <w:hideMark/>
          </w:tcPr>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color w:val="000000"/>
                <w:sz w:val="22"/>
                <w:lang w:val="vi-VN"/>
              </w:rPr>
              <w:t>Tính toán cơ cấu quay</w:t>
            </w:r>
          </w:p>
        </w:tc>
        <w:tc>
          <w:tcPr>
            <w:tcW w:w="1287" w:type="pct"/>
            <w:tcBorders>
              <w:top w:val="nil"/>
              <w:left w:val="nil"/>
              <w:bottom w:val="single" w:sz="8" w:space="0" w:color="auto"/>
              <w:right w:val="single" w:sz="8" w:space="0" w:color="auto"/>
            </w:tcBorders>
            <w:vAlign w:val="center"/>
            <w:hideMark/>
          </w:tcPr>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rPr>
              <w:t>---</w:t>
            </w:r>
          </w:p>
        </w:tc>
      </w:tr>
      <w:tr w:rsidR="007310A7" w:rsidRPr="007310A7" w:rsidTr="007310A7">
        <w:tc>
          <w:tcPr>
            <w:tcW w:w="394" w:type="pct"/>
            <w:tcBorders>
              <w:top w:val="nil"/>
              <w:left w:val="single" w:sz="8" w:space="0" w:color="auto"/>
              <w:bottom w:val="single" w:sz="8" w:space="0" w:color="auto"/>
              <w:right w:val="single" w:sz="8" w:space="0" w:color="auto"/>
            </w:tcBorders>
            <w:vAlign w:val="center"/>
            <w:hideMark/>
          </w:tcPr>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lang w:val="vi-VN"/>
              </w:rPr>
              <w:t>3</w:t>
            </w:r>
          </w:p>
        </w:tc>
        <w:tc>
          <w:tcPr>
            <w:tcW w:w="3319" w:type="pct"/>
            <w:tcBorders>
              <w:top w:val="nil"/>
              <w:left w:val="nil"/>
              <w:bottom w:val="single" w:sz="8" w:space="0" w:color="auto"/>
              <w:right w:val="single" w:sz="8" w:space="0" w:color="auto"/>
            </w:tcBorders>
            <w:vAlign w:val="center"/>
            <w:hideMark/>
          </w:tcPr>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color w:val="000000"/>
                <w:sz w:val="22"/>
                <w:lang w:val="vi-VN"/>
              </w:rPr>
              <w:t>Tính toán hệ thống công tác</w:t>
            </w:r>
          </w:p>
        </w:tc>
        <w:tc>
          <w:tcPr>
            <w:tcW w:w="1287" w:type="pct"/>
            <w:tcBorders>
              <w:top w:val="nil"/>
              <w:left w:val="nil"/>
              <w:bottom w:val="single" w:sz="8" w:space="0" w:color="auto"/>
              <w:right w:val="single" w:sz="8" w:space="0" w:color="auto"/>
            </w:tcBorders>
            <w:vAlign w:val="center"/>
            <w:hideMark/>
          </w:tcPr>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lang w:val="vi-VN"/>
              </w:rPr>
              <w:t>x</w:t>
            </w:r>
          </w:p>
        </w:tc>
      </w:tr>
      <w:tr w:rsidR="007310A7" w:rsidRPr="007310A7" w:rsidTr="007310A7">
        <w:tc>
          <w:tcPr>
            <w:tcW w:w="394" w:type="pct"/>
            <w:tcBorders>
              <w:top w:val="nil"/>
              <w:left w:val="single" w:sz="8" w:space="0" w:color="auto"/>
              <w:bottom w:val="single" w:sz="8" w:space="0" w:color="auto"/>
              <w:right w:val="single" w:sz="8" w:space="0" w:color="auto"/>
            </w:tcBorders>
            <w:vAlign w:val="center"/>
            <w:hideMark/>
          </w:tcPr>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lang w:val="vi-VN"/>
              </w:rPr>
              <w:t>4</w:t>
            </w:r>
          </w:p>
        </w:tc>
        <w:tc>
          <w:tcPr>
            <w:tcW w:w="3319" w:type="pct"/>
            <w:tcBorders>
              <w:top w:val="nil"/>
              <w:left w:val="nil"/>
              <w:bottom w:val="single" w:sz="8" w:space="0" w:color="auto"/>
              <w:right w:val="single" w:sz="8" w:space="0" w:color="auto"/>
            </w:tcBorders>
            <w:vAlign w:val="center"/>
            <w:hideMark/>
          </w:tcPr>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color w:val="000000"/>
                <w:sz w:val="22"/>
                <w:lang w:val="vi-VN"/>
              </w:rPr>
              <w:t>Tính toán hệ thống thủy lực</w:t>
            </w:r>
          </w:p>
        </w:tc>
        <w:tc>
          <w:tcPr>
            <w:tcW w:w="1287" w:type="pct"/>
            <w:tcBorders>
              <w:top w:val="nil"/>
              <w:left w:val="nil"/>
              <w:bottom w:val="single" w:sz="8" w:space="0" w:color="auto"/>
              <w:right w:val="single" w:sz="8" w:space="0" w:color="auto"/>
            </w:tcBorders>
            <w:vAlign w:val="center"/>
            <w:hideMark/>
          </w:tcPr>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lang w:val="vi-VN"/>
              </w:rPr>
              <w:t>x</w:t>
            </w:r>
          </w:p>
        </w:tc>
      </w:tr>
      <w:tr w:rsidR="007310A7" w:rsidRPr="007310A7" w:rsidTr="007310A7">
        <w:tc>
          <w:tcPr>
            <w:tcW w:w="394" w:type="pct"/>
            <w:tcBorders>
              <w:top w:val="nil"/>
              <w:left w:val="single" w:sz="8" w:space="0" w:color="auto"/>
              <w:bottom w:val="single" w:sz="8" w:space="0" w:color="auto"/>
              <w:right w:val="single" w:sz="8" w:space="0" w:color="auto"/>
            </w:tcBorders>
            <w:vAlign w:val="center"/>
            <w:hideMark/>
          </w:tcPr>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lang w:val="vi-VN"/>
              </w:rPr>
              <w:t>5</w:t>
            </w:r>
          </w:p>
        </w:tc>
        <w:tc>
          <w:tcPr>
            <w:tcW w:w="3319" w:type="pct"/>
            <w:tcBorders>
              <w:top w:val="nil"/>
              <w:left w:val="nil"/>
              <w:bottom w:val="single" w:sz="8" w:space="0" w:color="auto"/>
              <w:right w:val="single" w:sz="8" w:space="0" w:color="auto"/>
            </w:tcBorders>
            <w:vAlign w:val="center"/>
            <w:hideMark/>
          </w:tcPr>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color w:val="000000"/>
                <w:sz w:val="22"/>
                <w:lang w:val="vi-VN"/>
              </w:rPr>
              <w:t>Tính toán cơ cấu phanh, dẫn động phanh di chuyển</w:t>
            </w:r>
          </w:p>
        </w:tc>
        <w:tc>
          <w:tcPr>
            <w:tcW w:w="1287" w:type="pct"/>
            <w:tcBorders>
              <w:top w:val="nil"/>
              <w:left w:val="nil"/>
              <w:bottom w:val="single" w:sz="8" w:space="0" w:color="auto"/>
              <w:right w:val="single" w:sz="8" w:space="0" w:color="auto"/>
            </w:tcBorders>
            <w:vAlign w:val="center"/>
            <w:hideMark/>
          </w:tcPr>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rPr>
              <w:t>---</w:t>
            </w:r>
          </w:p>
        </w:tc>
      </w:tr>
      <w:tr w:rsidR="007310A7" w:rsidRPr="007310A7" w:rsidTr="007310A7">
        <w:tc>
          <w:tcPr>
            <w:tcW w:w="394" w:type="pct"/>
            <w:tcBorders>
              <w:top w:val="nil"/>
              <w:left w:val="single" w:sz="8" w:space="0" w:color="auto"/>
              <w:bottom w:val="single" w:sz="8" w:space="0" w:color="auto"/>
              <w:right w:val="single" w:sz="8" w:space="0" w:color="auto"/>
            </w:tcBorders>
            <w:vAlign w:val="center"/>
            <w:hideMark/>
          </w:tcPr>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lang w:val="vi-VN"/>
              </w:rPr>
              <w:t>6</w:t>
            </w:r>
          </w:p>
        </w:tc>
        <w:tc>
          <w:tcPr>
            <w:tcW w:w="3319" w:type="pct"/>
            <w:tcBorders>
              <w:top w:val="nil"/>
              <w:left w:val="nil"/>
              <w:bottom w:val="single" w:sz="8" w:space="0" w:color="auto"/>
              <w:right w:val="single" w:sz="8" w:space="0" w:color="auto"/>
            </w:tcBorders>
            <w:vAlign w:val="center"/>
            <w:hideMark/>
          </w:tcPr>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color w:val="000000"/>
                <w:sz w:val="22"/>
                <w:lang w:val="vi-VN"/>
              </w:rPr>
              <w:t>Tính toán liên kết của hệ thống công tác với khung, dầm chính</w:t>
            </w:r>
          </w:p>
        </w:tc>
        <w:tc>
          <w:tcPr>
            <w:tcW w:w="1287" w:type="pct"/>
            <w:tcBorders>
              <w:top w:val="nil"/>
              <w:left w:val="nil"/>
              <w:bottom w:val="single" w:sz="8" w:space="0" w:color="auto"/>
              <w:right w:val="single" w:sz="8" w:space="0" w:color="auto"/>
            </w:tcBorders>
            <w:vAlign w:val="center"/>
            <w:hideMark/>
          </w:tcPr>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lang w:val="vi-VN"/>
              </w:rPr>
              <w:t>x</w:t>
            </w:r>
          </w:p>
        </w:tc>
      </w:tr>
      <w:tr w:rsidR="007310A7" w:rsidRPr="007310A7" w:rsidTr="007310A7">
        <w:tc>
          <w:tcPr>
            <w:tcW w:w="394" w:type="pct"/>
            <w:tcBorders>
              <w:top w:val="nil"/>
              <w:left w:val="single" w:sz="8" w:space="0" w:color="auto"/>
              <w:bottom w:val="single" w:sz="8" w:space="0" w:color="auto"/>
              <w:right w:val="single" w:sz="8" w:space="0" w:color="auto"/>
            </w:tcBorders>
            <w:vAlign w:val="center"/>
            <w:hideMark/>
          </w:tcPr>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lang w:val="vi-VN"/>
              </w:rPr>
              <w:t>7</w:t>
            </w:r>
          </w:p>
        </w:tc>
        <w:tc>
          <w:tcPr>
            <w:tcW w:w="3319" w:type="pct"/>
            <w:tcBorders>
              <w:top w:val="nil"/>
              <w:left w:val="nil"/>
              <w:bottom w:val="single" w:sz="8" w:space="0" w:color="auto"/>
              <w:right w:val="single" w:sz="8" w:space="0" w:color="auto"/>
            </w:tcBorders>
            <w:vAlign w:val="center"/>
            <w:hideMark/>
          </w:tcPr>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color w:val="000000"/>
                <w:sz w:val="22"/>
                <w:lang w:val="vi-VN"/>
              </w:rPr>
              <w:t>Tính toán ổn định của xe khi di chuyển lên dốc, xuống dốc</w:t>
            </w:r>
          </w:p>
        </w:tc>
        <w:tc>
          <w:tcPr>
            <w:tcW w:w="1287" w:type="pct"/>
            <w:tcBorders>
              <w:top w:val="nil"/>
              <w:left w:val="nil"/>
              <w:bottom w:val="single" w:sz="8" w:space="0" w:color="auto"/>
              <w:right w:val="single" w:sz="8" w:space="0" w:color="auto"/>
            </w:tcBorders>
            <w:vAlign w:val="center"/>
            <w:hideMark/>
          </w:tcPr>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lang w:val="vi-VN"/>
              </w:rPr>
              <w:t>x</w:t>
            </w:r>
          </w:p>
        </w:tc>
      </w:tr>
      <w:tr w:rsidR="007310A7" w:rsidRPr="007310A7" w:rsidTr="007310A7">
        <w:tc>
          <w:tcPr>
            <w:tcW w:w="394" w:type="pct"/>
            <w:tcBorders>
              <w:top w:val="nil"/>
              <w:left w:val="single" w:sz="8" w:space="0" w:color="auto"/>
              <w:bottom w:val="single" w:sz="8" w:space="0" w:color="auto"/>
              <w:right w:val="single" w:sz="8" w:space="0" w:color="auto"/>
            </w:tcBorders>
            <w:vAlign w:val="center"/>
            <w:hideMark/>
          </w:tcPr>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lang w:val="vi-VN"/>
              </w:rPr>
              <w:t>8</w:t>
            </w:r>
          </w:p>
        </w:tc>
        <w:tc>
          <w:tcPr>
            <w:tcW w:w="3319" w:type="pct"/>
            <w:tcBorders>
              <w:top w:val="nil"/>
              <w:left w:val="nil"/>
              <w:bottom w:val="single" w:sz="8" w:space="0" w:color="auto"/>
              <w:right w:val="single" w:sz="8" w:space="0" w:color="auto"/>
            </w:tcBorders>
            <w:vAlign w:val="center"/>
            <w:hideMark/>
          </w:tcPr>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color w:val="000000"/>
                <w:sz w:val="22"/>
                <w:lang w:val="vi-VN"/>
              </w:rPr>
              <w:t>Tính toán ổn định của xe khi xe hoạt động ở chế độ tải lớn nhất</w:t>
            </w:r>
          </w:p>
        </w:tc>
        <w:tc>
          <w:tcPr>
            <w:tcW w:w="1287" w:type="pct"/>
            <w:tcBorders>
              <w:top w:val="nil"/>
              <w:left w:val="nil"/>
              <w:bottom w:val="single" w:sz="8" w:space="0" w:color="auto"/>
              <w:right w:val="single" w:sz="8" w:space="0" w:color="auto"/>
            </w:tcBorders>
            <w:vAlign w:val="center"/>
            <w:hideMark/>
          </w:tcPr>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lang w:val="vi-VN"/>
              </w:rPr>
              <w:t>x</w:t>
            </w:r>
          </w:p>
        </w:tc>
      </w:tr>
      <w:tr w:rsidR="007310A7" w:rsidRPr="007310A7" w:rsidTr="007310A7">
        <w:tc>
          <w:tcPr>
            <w:tcW w:w="394" w:type="pct"/>
            <w:tcBorders>
              <w:top w:val="nil"/>
              <w:left w:val="single" w:sz="8" w:space="0" w:color="auto"/>
              <w:bottom w:val="single" w:sz="8" w:space="0" w:color="auto"/>
              <w:right w:val="single" w:sz="8" w:space="0" w:color="auto"/>
            </w:tcBorders>
            <w:vAlign w:val="center"/>
            <w:hideMark/>
          </w:tcPr>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lang w:val="vi-VN"/>
              </w:rPr>
              <w:t>9</w:t>
            </w:r>
          </w:p>
        </w:tc>
        <w:tc>
          <w:tcPr>
            <w:tcW w:w="3319" w:type="pct"/>
            <w:tcBorders>
              <w:top w:val="nil"/>
              <w:left w:val="nil"/>
              <w:bottom w:val="single" w:sz="8" w:space="0" w:color="auto"/>
              <w:right w:val="single" w:sz="8" w:space="0" w:color="auto"/>
            </w:tcBorders>
            <w:vAlign w:val="center"/>
            <w:hideMark/>
          </w:tcPr>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color w:val="000000"/>
                <w:sz w:val="22"/>
                <w:lang w:val="vi-VN"/>
              </w:rPr>
              <w:t>Các tính toán khác (nếu có): Chỉ áp dụng đối với những nội dung tính toán kiểm nghiệm bền cho các chi tiết, tổng thành khác tùy thuộc vào đặc điểm kết cấu cụ thể của từng loại Xe được thiết kế và loại hình sản xuất, lắp ráp thực tế</w:t>
            </w:r>
          </w:p>
        </w:tc>
        <w:tc>
          <w:tcPr>
            <w:tcW w:w="1287" w:type="pct"/>
            <w:tcBorders>
              <w:top w:val="nil"/>
              <w:left w:val="nil"/>
              <w:bottom w:val="single" w:sz="8" w:space="0" w:color="auto"/>
              <w:right w:val="single" w:sz="8" w:space="0" w:color="auto"/>
            </w:tcBorders>
            <w:vAlign w:val="center"/>
            <w:hideMark/>
          </w:tcPr>
          <w:p w:rsidR="007310A7" w:rsidRPr="007310A7" w:rsidRDefault="007310A7" w:rsidP="007310A7">
            <w:pPr>
              <w:spacing w:before="120" w:after="0" w:line="240" w:lineRule="auto"/>
              <w:jc w:val="center"/>
              <w:rPr>
                <w:rFonts w:eastAsia="Arial Unicode MS" w:cs="Times New Roman"/>
                <w:color w:val="000000"/>
                <w:sz w:val="22"/>
              </w:rPr>
            </w:pPr>
            <w:r w:rsidRPr="007310A7">
              <w:rPr>
                <w:rFonts w:eastAsia="Arial Unicode MS" w:cs="Times New Roman"/>
                <w:color w:val="000000"/>
                <w:sz w:val="22"/>
                <w:lang w:val="vi-VN"/>
              </w:rPr>
              <w:t>x</w:t>
            </w:r>
          </w:p>
        </w:tc>
      </w:tr>
    </w:tbl>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color w:val="000000"/>
          <w:sz w:val="22"/>
          <w:lang w:val="vi-VN"/>
        </w:rPr>
        <w:t>Trường hợp có cơ sở để kết luận sự thỏa mãn về độ bền của các chi tiết, tổng thành, hệ thống thuộc các hạng mục bắt buộc phải tính toán kiểm nghiệm bền nêu trên thì trong thuyết minh phải nêu rõ lý do của việc không tính toán kiểm nghiệm bền đối với các hạng mục này.</w:t>
      </w:r>
    </w:p>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color w:val="000000"/>
          <w:sz w:val="22"/>
          <w:lang w:val="vi-VN"/>
        </w:rPr>
        <w:t>4. Kết luận chung của bản thuyết minh.</w:t>
      </w:r>
    </w:p>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color w:val="000000"/>
          <w:sz w:val="22"/>
          <w:lang w:val="vi-VN"/>
        </w:rPr>
        <w:t>5. Mục lục và các tài liệu tham khảo trong quá trình thiết kế.</w:t>
      </w:r>
    </w:p>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b/>
          <w:bCs/>
          <w:color w:val="000000"/>
          <w:sz w:val="22"/>
          <w:lang w:val="vi-VN"/>
        </w:rPr>
        <w:t>B. Bản vẽ kỹ thuật:</w:t>
      </w:r>
    </w:p>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color w:val="000000"/>
          <w:sz w:val="22"/>
          <w:lang w:val="vi-VN"/>
        </w:rPr>
        <w:t>1. Bản vẽ bố trí chung của Xe.</w:t>
      </w:r>
    </w:p>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color w:val="000000"/>
          <w:sz w:val="22"/>
          <w:lang w:val="vi-VN"/>
        </w:rPr>
        <w:t>2. Bản vẽ lắp đặt của các tổng thành, hệ thống lên xe - Bản vẽ kết cấu và các thông số kỹ thuật của các tổng thành, hệ thống sản xuất trong nước.</w:t>
      </w:r>
    </w:p>
    <w:p w:rsidR="007310A7" w:rsidRPr="007310A7" w:rsidRDefault="007310A7" w:rsidP="007310A7">
      <w:pPr>
        <w:spacing w:before="120" w:after="0" w:line="240" w:lineRule="auto"/>
        <w:rPr>
          <w:rFonts w:eastAsia="Arial Unicode MS" w:cs="Times New Roman"/>
          <w:color w:val="000000"/>
          <w:sz w:val="22"/>
        </w:rPr>
      </w:pPr>
      <w:r w:rsidRPr="007310A7">
        <w:rPr>
          <w:rFonts w:eastAsia="Arial Unicode MS" w:cs="Times New Roman"/>
          <w:color w:val="000000"/>
          <w:sz w:val="22"/>
          <w:lang w:val="vi-VN"/>
        </w:rPr>
        <w:t>Các bản vẽ kỹ thuật nói trên phải được trình bày theo các tiêu chuẩn, quy chuẩn kỹ thuật hiện hành.</w:t>
      </w:r>
    </w:p>
    <w:p w:rsidR="00945DAA" w:rsidRPr="007310A7" w:rsidRDefault="00945DAA">
      <w:pPr>
        <w:rPr>
          <w:rFonts w:cs="Times New Roman"/>
          <w:sz w:val="22"/>
        </w:rPr>
      </w:pPr>
    </w:p>
    <w:sectPr w:rsidR="00945DAA" w:rsidRPr="007310A7"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savePreviewPicture/>
  <w:compat/>
  <w:rsids>
    <w:rsidRoot w:val="007310A7"/>
    <w:rsid w:val="00286D56"/>
    <w:rsid w:val="003755B3"/>
    <w:rsid w:val="00547A51"/>
    <w:rsid w:val="00613202"/>
    <w:rsid w:val="00702F5D"/>
    <w:rsid w:val="007310A7"/>
    <w:rsid w:val="00945DAA"/>
    <w:rsid w:val="00A7336D"/>
    <w:rsid w:val="00B6423D"/>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59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1866</Characters>
  <Application>Microsoft Office Word</Application>
  <DocSecurity>0</DocSecurity>
  <Lines>15</Lines>
  <Paragraphs>4</Paragraphs>
  <ScaleCrop>false</ScaleCrop>
  <Company>Grizli777</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2019-07-08T02:25:00Z</dcterms:created>
  <dcterms:modified xsi:type="dcterms:W3CDTF">2019-07-08T02:25:00Z</dcterms:modified>
</cp:coreProperties>
</file>