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tblCellSpacing w:w="0" w:type="dxa"/>
        <w:tblCellMar>
          <w:left w:w="0" w:type="dxa"/>
          <w:right w:w="0" w:type="dxa"/>
        </w:tblCellMar>
        <w:tblLook w:val="04A0"/>
      </w:tblPr>
      <w:tblGrid>
        <w:gridCol w:w="4248"/>
        <w:gridCol w:w="5508"/>
      </w:tblGrid>
      <w:tr w:rsidR="001E397C" w:rsidRPr="001E397C" w:rsidTr="001E397C">
        <w:trPr>
          <w:tblCellSpacing w:w="0" w:type="dxa"/>
        </w:trPr>
        <w:tc>
          <w:tcPr>
            <w:tcW w:w="4248" w:type="dxa"/>
            <w:tcMar>
              <w:top w:w="0" w:type="dxa"/>
              <w:left w:w="108" w:type="dxa"/>
              <w:bottom w:w="0" w:type="dxa"/>
              <w:right w:w="108" w:type="dxa"/>
            </w:tcMar>
            <w:hideMark/>
          </w:tcPr>
          <w:p w:rsidR="001E397C" w:rsidRPr="001E397C" w:rsidRDefault="001E397C" w:rsidP="001E397C">
            <w:pPr>
              <w:spacing w:before="120" w:after="120" w:line="212" w:lineRule="atLeast"/>
              <w:jc w:val="center"/>
              <w:rPr>
                <w:rFonts w:ascii="Times New Roman" w:eastAsia="Times New Roman" w:hAnsi="Times New Roman" w:cs="Times New Roman"/>
                <w:color w:val="000000"/>
                <w:sz w:val="16"/>
                <w:szCs w:val="16"/>
              </w:rPr>
            </w:pPr>
            <w:r w:rsidRPr="001E397C">
              <w:rPr>
                <w:rFonts w:ascii="Times New Roman" w:eastAsia="Times New Roman" w:hAnsi="Times New Roman" w:cs="Times New Roman"/>
                <w:b/>
                <w:bCs/>
                <w:color w:val="000000"/>
                <w:sz w:val="16"/>
                <w:szCs w:val="16"/>
                <w:lang w:val="vi-VN"/>
              </w:rPr>
              <w:t>TÊN DOANH NGHIỆP BẢO HIỂM, DOANH NGHIỆP TÁI BẢO HIỂM, CHI NHÁNH NƯỚC NGOÀI</w:t>
            </w:r>
            <w:r w:rsidRPr="001E397C">
              <w:rPr>
                <w:rFonts w:ascii="Times New Roman" w:eastAsia="Times New Roman" w:hAnsi="Times New Roman" w:cs="Times New Roman"/>
                <w:b/>
                <w:bCs/>
                <w:color w:val="000000"/>
                <w:sz w:val="16"/>
                <w:szCs w:val="16"/>
                <w:lang w:val="vi-VN"/>
              </w:rPr>
              <w:br/>
              <w:t>-------</w:t>
            </w:r>
          </w:p>
        </w:tc>
        <w:tc>
          <w:tcPr>
            <w:tcW w:w="5508" w:type="dxa"/>
            <w:tcMar>
              <w:top w:w="0" w:type="dxa"/>
              <w:left w:w="108" w:type="dxa"/>
              <w:bottom w:w="0" w:type="dxa"/>
              <w:right w:w="108" w:type="dxa"/>
            </w:tcMar>
            <w:hideMark/>
          </w:tcPr>
          <w:p w:rsidR="001E397C" w:rsidRPr="001E397C" w:rsidRDefault="001E397C" w:rsidP="001E397C">
            <w:pPr>
              <w:spacing w:before="120" w:after="120" w:line="212" w:lineRule="atLeast"/>
              <w:jc w:val="center"/>
              <w:rPr>
                <w:rFonts w:ascii="Times New Roman" w:eastAsia="Times New Roman" w:hAnsi="Times New Roman" w:cs="Times New Roman"/>
                <w:color w:val="000000"/>
                <w:sz w:val="16"/>
                <w:szCs w:val="16"/>
              </w:rPr>
            </w:pPr>
            <w:r w:rsidRPr="001E397C">
              <w:rPr>
                <w:rFonts w:ascii="Times New Roman" w:eastAsia="Times New Roman" w:hAnsi="Times New Roman" w:cs="Times New Roman"/>
                <w:b/>
                <w:bCs/>
                <w:color w:val="000000"/>
                <w:sz w:val="16"/>
                <w:szCs w:val="16"/>
                <w:lang w:val="vi-VN"/>
              </w:rPr>
              <w:t>CỘNG HÒA XÃ HỘI CHỦ NGHĨA VIỆT NAM</w:t>
            </w:r>
            <w:r w:rsidRPr="001E397C">
              <w:rPr>
                <w:rFonts w:ascii="Times New Roman" w:eastAsia="Times New Roman" w:hAnsi="Times New Roman" w:cs="Times New Roman"/>
                <w:b/>
                <w:bCs/>
                <w:color w:val="000000"/>
                <w:sz w:val="16"/>
                <w:szCs w:val="16"/>
                <w:lang w:val="vi-VN"/>
              </w:rPr>
              <w:br/>
              <w:t>Độc lập - Tự do - Hạnh phúc</w:t>
            </w:r>
            <w:r w:rsidRPr="001E397C">
              <w:rPr>
                <w:rFonts w:ascii="Times New Roman" w:eastAsia="Times New Roman" w:hAnsi="Times New Roman" w:cs="Times New Roman"/>
                <w:b/>
                <w:bCs/>
                <w:color w:val="000000"/>
                <w:sz w:val="16"/>
                <w:szCs w:val="16"/>
                <w:lang w:val="vi-VN"/>
              </w:rPr>
              <w:br/>
              <w:t>---------------</w:t>
            </w:r>
          </w:p>
        </w:tc>
      </w:tr>
      <w:tr w:rsidR="001E397C" w:rsidRPr="001E397C" w:rsidTr="001E397C">
        <w:trPr>
          <w:tblCellSpacing w:w="0" w:type="dxa"/>
        </w:trPr>
        <w:tc>
          <w:tcPr>
            <w:tcW w:w="4248" w:type="dxa"/>
            <w:tcMar>
              <w:top w:w="0" w:type="dxa"/>
              <w:left w:w="108" w:type="dxa"/>
              <w:bottom w:w="0" w:type="dxa"/>
              <w:right w:w="108" w:type="dxa"/>
            </w:tcMar>
            <w:hideMark/>
          </w:tcPr>
          <w:p w:rsidR="001E397C" w:rsidRPr="001E397C" w:rsidRDefault="001E397C" w:rsidP="001E397C">
            <w:pPr>
              <w:spacing w:before="120" w:after="120" w:line="212" w:lineRule="atLeast"/>
              <w:jc w:val="center"/>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Số: …………</w:t>
            </w:r>
          </w:p>
        </w:tc>
        <w:tc>
          <w:tcPr>
            <w:tcW w:w="5508" w:type="dxa"/>
            <w:tcMar>
              <w:top w:w="0" w:type="dxa"/>
              <w:left w:w="108" w:type="dxa"/>
              <w:bottom w:w="0" w:type="dxa"/>
              <w:right w:w="108" w:type="dxa"/>
            </w:tcMar>
            <w:hideMark/>
          </w:tcPr>
          <w:p w:rsidR="001E397C" w:rsidRPr="001E397C" w:rsidRDefault="001E397C" w:rsidP="001E397C">
            <w:pPr>
              <w:spacing w:before="120" w:after="120" w:line="212" w:lineRule="atLeast"/>
              <w:jc w:val="center"/>
              <w:rPr>
                <w:rFonts w:ascii="Times New Roman" w:eastAsia="Times New Roman" w:hAnsi="Times New Roman" w:cs="Times New Roman"/>
                <w:color w:val="000000"/>
                <w:sz w:val="16"/>
                <w:szCs w:val="16"/>
              </w:rPr>
            </w:pPr>
            <w:r w:rsidRPr="001E397C">
              <w:rPr>
                <w:rFonts w:ascii="Times New Roman" w:eastAsia="Times New Roman" w:hAnsi="Times New Roman" w:cs="Times New Roman"/>
                <w:i/>
                <w:iCs/>
                <w:color w:val="000000"/>
                <w:sz w:val="16"/>
                <w:szCs w:val="16"/>
                <w:lang w:val="vi-VN"/>
              </w:rPr>
              <w:t>……., ngày ….. tháng .…. năm ….</w:t>
            </w:r>
          </w:p>
        </w:tc>
      </w:tr>
    </w:tbl>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w:t>
      </w:r>
    </w:p>
    <w:p w:rsidR="001E397C" w:rsidRPr="001E397C" w:rsidRDefault="001E397C" w:rsidP="001E397C">
      <w:pPr>
        <w:spacing w:after="0" w:line="212" w:lineRule="atLeast"/>
        <w:jc w:val="center"/>
        <w:rPr>
          <w:rFonts w:ascii="Times New Roman" w:eastAsia="Times New Roman" w:hAnsi="Times New Roman" w:cs="Times New Roman"/>
          <w:color w:val="000000"/>
          <w:sz w:val="16"/>
          <w:szCs w:val="16"/>
        </w:rPr>
      </w:pPr>
      <w:bookmarkStart w:id="0" w:name="chuong_pl_name"/>
      <w:r w:rsidRPr="001E397C">
        <w:rPr>
          <w:rFonts w:ascii="Times New Roman" w:eastAsia="Times New Roman" w:hAnsi="Times New Roman" w:cs="Times New Roman"/>
          <w:b/>
          <w:bCs/>
          <w:color w:val="000000"/>
          <w:sz w:val="16"/>
          <w:szCs w:val="16"/>
          <w:lang w:val="vi-VN"/>
        </w:rPr>
        <w:t>BÁO CÁO QUẢN TRỊ RỦI RO</w:t>
      </w:r>
      <w:bookmarkEnd w:id="0"/>
    </w:p>
    <w:p w:rsidR="001E397C" w:rsidRPr="001E397C" w:rsidRDefault="001E397C" w:rsidP="001E397C">
      <w:pPr>
        <w:spacing w:before="120" w:after="120" w:line="212" w:lineRule="atLeast"/>
        <w:jc w:val="center"/>
        <w:rPr>
          <w:rFonts w:ascii="Times New Roman" w:eastAsia="Times New Roman" w:hAnsi="Times New Roman" w:cs="Times New Roman"/>
          <w:color w:val="000000"/>
          <w:sz w:val="16"/>
          <w:szCs w:val="16"/>
        </w:rPr>
      </w:pPr>
      <w:r w:rsidRPr="001E397C">
        <w:rPr>
          <w:rFonts w:ascii="Times New Roman" w:eastAsia="Times New Roman" w:hAnsi="Times New Roman" w:cs="Times New Roman"/>
          <w:b/>
          <w:bCs/>
          <w:color w:val="000000"/>
          <w:sz w:val="16"/>
          <w:szCs w:val="16"/>
          <w:lang w:val="vi-VN"/>
        </w:rPr>
        <w:t>“Năm...”</w:t>
      </w:r>
    </w:p>
    <w:p w:rsidR="001E397C" w:rsidRPr="001E397C" w:rsidRDefault="001E397C" w:rsidP="001E397C">
      <w:pPr>
        <w:spacing w:before="120" w:after="120" w:line="212" w:lineRule="atLeast"/>
        <w:jc w:val="center"/>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Kính gửi: Bộ Tài chính</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b/>
          <w:bCs/>
          <w:color w:val="000000"/>
          <w:sz w:val="16"/>
          <w:szCs w:val="16"/>
          <w:lang w:val="vi-VN"/>
        </w:rPr>
        <w:t>I. Chính sách quản trị rủi ro</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1. Tổ chức bộ máy và các chính sách, quy định nội bộ về quản trị rủi ro (chỉ áp dụng cho báo cáo lần đầu).</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2. Các thay đổi về chính sách, quy định nội bộ về quản trị rủi ro, khẩu vị rủi ro trong kỳ báo cáo, lý do thay đổi (áp dụng với các kỳ báo cáo sau).</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3. Đánh giá mức độ đầy đủ của hoạt động quản trị rủi ro của doanh nghiệp, và các nguồn lực cần có để hoạt động trong khả năng chấp nhận rủi ro của doanh nghiệp bảo hiểm, doanh nghiệp tái bảo hiểm, chi nhánh nước ngoài.</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b/>
          <w:bCs/>
          <w:color w:val="000000"/>
          <w:sz w:val="16"/>
          <w:szCs w:val="16"/>
          <w:lang w:val="vi-VN"/>
        </w:rPr>
        <w:t>II. Quản trị rủi ro trọng yếu</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1. Đánh giá về các rủi ro trọng yếu đối với hoạt động của doanh nghiệp bảo hiểm, doanh nghiệp tái bảo hiểm, chi nhánh nước ngoài.</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2. Phương thức quản trị các rủi ro trọng yếu:</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a. Quản trị rủi ro bảo hiểm</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Các hạn mức rủi ro bảo hiểm. Các thay đổi hạn mức rủi ro bảo hiểm trong kỳ báo cáo (nếu có) và lý do thay đổi;</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Đánh giá tình hình thực hiện quản trị rủi ro bảo hiểm (nhận dạng, đo lường, theo dõi, và các biện pháp nhằm kiểm soát rủi ro bảo hiểm, tính hiệu quả của hoạt động quản trị rủi ro bảo hiểm, các tồn tại, hạn chế, vướng mắc trong quản trị rủi ro bảo hiểm và nguyên nhân....);</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Kết quả thực hiện kiến nghị của Bộ Tài chính, kiểm toán độc lập, cơ quan chức năng khác đối với quản trị rủi ro bảo hiểm (nếu có).</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b. Quản trị rủi ro thị trường</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Các hạn mức rủi ro thị trường. Các thay đổi hạn mức rủi ro thị trường trong kỳ báo cáo (nếu có) và lý do thay đổi;</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Đánh giá tình hình thực hiện quản trị rủi ro thị trường (nhận dạng, đo lường, theo dõi, và các biện pháp nhằm kiểm soát rủi ro thị trường, tính hiệu quả của hoạt động quản trị rủi ro thị trường, các tồn tại, hạn chế, vướng mắc trong quản trị rủi ro thị trường và nguyên nhân....);</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Kết quả thực hiện kiến nghị của Bộ Tài chính, kiểm toán độc lập, cơ quan chức năng khác đối với quản trị rủi ro thị trường (nếu có).</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c. Quản trị rủi ro hoạt động</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Các hạn mức rủi ro hoạt động. Các thay đổi hạn mức rủi ro hoạt động trong kỳ báo cáo (nếu có) và lý do thay đổi;</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Đánh giá tình hình thực hiện quản trị rủi ro hoạt động (nhận dạng, đo lường, theo dõi, và các biện pháp nhằm kiểm soát rủi ro hoạt động, tính hiệu quả của hoạt động quản trị rủi ro hoạt động, các tồn tại, hạn chế, vướng mắc trong quản trị rủi ro hoạt động và nguyên nhân....);</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Kết quả thực hiện kiến nghị của Bộ Tài chính, kiểm toán độc lập, cơ quan chức năng khác đối với quản trị rủi ro hoạt động (nếu có).</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d. Quản trị rủi ro đối tác</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Các hạn mức rủi ro đối tác. Các thay đổi hạn mức rủi ro đối tác trong kỳ báo cáo (nếu có) và lý do thay đổi;</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Đánh giá tình hình thực hiện quản trị rủi ro đối tác (nhận dạng, đo lường, theo dõi, và các biện pháp nhằm kiểm soát rủi ro đối tác, tính hiệu quả của hoạt động quản trị rủi ro đối tác, các tồn tại, hạn chế, vướng mắc trong quản trị rủi ro đối tác và nguyên nhân....);</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Kết quả thực hiện kiến nghị của Bộ Tài chính, kiểm toán độc lập, cơ quan chức năng khác đối với quản trị rủi ro đối tác (nếu có).</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đ. Quản trị rủi ro thanh khoản</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Các hạn mức rủi ro thanh khoản. Các thay đổi hạn mức rủi ro thanh khoản trong kỳ báo cáo (nếu có) và lý do thay đổi;</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Đánh giá tình hình thực hiện quản trị rủi ro thanh khoản (nhận dạng, đo lường, theo dõi, và các biện pháp nhằm kiểm soát rủi ro thanh khoản, tính hiệu quả của hoạt động quản trị rủi ro thanh khoản, các tồn tại, hạn chế, vướng mắc trong quản trị rủi ro thanh khoản và nguyên nhân....);</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Kết quả thực hiện kiến nghị của Bộ Tài chính, kiểm toán độc lập, cơ quan chức năng khác đối với quản trị rủi ro thanh khoản (nếu có).</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lastRenderedPageBreak/>
        <w:t>e. Quản trị các rủi ro trọng yếu khác theo đánh giá của doanh nghiệp bảo hiểm, doanh nghiệp tái bảo hiểm, chi nhánh nước ngoài (nếu có).</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b/>
          <w:bCs/>
          <w:color w:val="000000"/>
          <w:sz w:val="16"/>
          <w:szCs w:val="16"/>
          <w:lang w:val="vi-VN"/>
        </w:rPr>
        <w:t>III. Kết quả kiểm tra sức chịu đựng và phân tích khả năng tiếp tục hoạt động trong các tình huống bất lợi đối với hoạt động kinh doanh</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1. Kịch bản kiểm tra sức chịu đựng.</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2. Kết quả kiểm tra sức chịu đựng.</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3. Phân tích khả năng tiếp tục hoạt động trong tình huống bất lợi đối với hoạt động kinh doanh.</w:t>
      </w:r>
    </w:p>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color w:val="000000"/>
          <w:sz w:val="16"/>
          <w:szCs w:val="16"/>
          <w:lang w:val="vi-VN"/>
        </w:rPr>
        <w:t> </w:t>
      </w:r>
    </w:p>
    <w:tbl>
      <w:tblPr>
        <w:tblW w:w="10020" w:type="dxa"/>
        <w:tblCellSpacing w:w="0" w:type="dxa"/>
        <w:tblCellMar>
          <w:left w:w="0" w:type="dxa"/>
          <w:right w:w="0" w:type="dxa"/>
        </w:tblCellMar>
        <w:tblLook w:val="04A0"/>
      </w:tblPr>
      <w:tblGrid>
        <w:gridCol w:w="4968"/>
        <w:gridCol w:w="5052"/>
      </w:tblGrid>
      <w:tr w:rsidR="001E397C" w:rsidRPr="001E397C" w:rsidTr="001E397C">
        <w:trPr>
          <w:tblCellSpacing w:w="0" w:type="dxa"/>
        </w:trPr>
        <w:tc>
          <w:tcPr>
            <w:tcW w:w="4968" w:type="dxa"/>
            <w:tcMar>
              <w:top w:w="0" w:type="dxa"/>
              <w:left w:w="108" w:type="dxa"/>
              <w:bottom w:w="0" w:type="dxa"/>
              <w:right w:w="108" w:type="dxa"/>
            </w:tcMar>
            <w:hideMark/>
          </w:tcPr>
          <w:p w:rsidR="001E397C" w:rsidRPr="001E397C" w:rsidRDefault="001E397C" w:rsidP="001E397C">
            <w:pPr>
              <w:spacing w:before="120" w:after="120" w:line="212" w:lineRule="atLeast"/>
              <w:rPr>
                <w:rFonts w:ascii="Times New Roman" w:eastAsia="Times New Roman" w:hAnsi="Times New Roman" w:cs="Times New Roman"/>
                <w:color w:val="000000"/>
                <w:sz w:val="16"/>
                <w:szCs w:val="16"/>
              </w:rPr>
            </w:pPr>
            <w:r w:rsidRPr="001E397C">
              <w:rPr>
                <w:rFonts w:ascii="Times New Roman" w:eastAsia="Times New Roman" w:hAnsi="Times New Roman" w:cs="Times New Roman"/>
                <w:b/>
                <w:bCs/>
                <w:i/>
                <w:iCs/>
                <w:color w:val="000000"/>
                <w:sz w:val="16"/>
                <w:szCs w:val="16"/>
                <w:lang w:val="vi-VN"/>
              </w:rPr>
              <w:br/>
              <w:t>Nơi nhận:</w:t>
            </w:r>
            <w:r w:rsidRPr="001E397C">
              <w:rPr>
                <w:rFonts w:ascii="Times New Roman" w:eastAsia="Times New Roman" w:hAnsi="Times New Roman" w:cs="Times New Roman"/>
                <w:b/>
                <w:bCs/>
                <w:i/>
                <w:iCs/>
                <w:color w:val="000000"/>
                <w:sz w:val="16"/>
                <w:szCs w:val="16"/>
                <w:lang w:val="vi-VN"/>
              </w:rPr>
              <w:br/>
            </w:r>
            <w:r w:rsidRPr="001E397C">
              <w:rPr>
                <w:rFonts w:ascii="Times New Roman" w:eastAsia="Times New Roman" w:hAnsi="Times New Roman" w:cs="Times New Roman"/>
                <w:color w:val="000000"/>
                <w:sz w:val="16"/>
                <w:szCs w:val="16"/>
                <w:lang w:val="vi-VN"/>
              </w:rPr>
              <w:t>- Như trên;</w:t>
            </w:r>
            <w:r w:rsidRPr="001E397C">
              <w:rPr>
                <w:rFonts w:ascii="Times New Roman" w:eastAsia="Times New Roman" w:hAnsi="Times New Roman" w:cs="Times New Roman"/>
                <w:color w:val="000000"/>
                <w:sz w:val="16"/>
                <w:szCs w:val="16"/>
                <w:lang w:val="vi-VN"/>
              </w:rPr>
              <w:br/>
              <w:t>- …………..;</w:t>
            </w:r>
            <w:r w:rsidRPr="001E397C">
              <w:rPr>
                <w:rFonts w:ascii="Times New Roman" w:eastAsia="Times New Roman" w:hAnsi="Times New Roman" w:cs="Times New Roman"/>
                <w:color w:val="000000"/>
                <w:sz w:val="16"/>
                <w:szCs w:val="16"/>
                <w:lang w:val="vi-VN"/>
              </w:rPr>
              <w:br/>
              <w:t>- Lưu:</w:t>
            </w:r>
          </w:p>
        </w:tc>
        <w:tc>
          <w:tcPr>
            <w:tcW w:w="5052" w:type="dxa"/>
            <w:tcMar>
              <w:top w:w="0" w:type="dxa"/>
              <w:left w:w="108" w:type="dxa"/>
              <w:bottom w:w="0" w:type="dxa"/>
              <w:right w:w="108" w:type="dxa"/>
            </w:tcMar>
            <w:hideMark/>
          </w:tcPr>
          <w:p w:rsidR="001E397C" w:rsidRPr="001E397C" w:rsidRDefault="001E397C" w:rsidP="001E397C">
            <w:pPr>
              <w:spacing w:before="120" w:after="240" w:line="212" w:lineRule="atLeast"/>
              <w:jc w:val="center"/>
              <w:rPr>
                <w:rFonts w:ascii="Times New Roman" w:eastAsia="Times New Roman" w:hAnsi="Times New Roman" w:cs="Times New Roman"/>
                <w:color w:val="000000"/>
                <w:sz w:val="16"/>
                <w:szCs w:val="16"/>
              </w:rPr>
            </w:pPr>
            <w:r w:rsidRPr="001E397C">
              <w:rPr>
                <w:rFonts w:ascii="Times New Roman" w:eastAsia="Times New Roman" w:hAnsi="Times New Roman" w:cs="Times New Roman"/>
                <w:b/>
                <w:bCs/>
                <w:color w:val="000000"/>
                <w:sz w:val="16"/>
                <w:szCs w:val="16"/>
                <w:lang w:val="vi-VN"/>
              </w:rPr>
              <w:t>NGƯỜI ĐẠI DIỆN TRƯỚC PHÁP LUẬT</w:t>
            </w:r>
            <w:r w:rsidRPr="001E397C">
              <w:rPr>
                <w:rFonts w:ascii="Times New Roman" w:eastAsia="Times New Roman" w:hAnsi="Times New Roman" w:cs="Times New Roman"/>
                <w:b/>
                <w:bCs/>
                <w:color w:val="000000"/>
                <w:sz w:val="16"/>
                <w:szCs w:val="16"/>
                <w:lang w:val="vi-VN"/>
              </w:rPr>
              <w:br/>
            </w:r>
            <w:r w:rsidRPr="001E397C">
              <w:rPr>
                <w:rFonts w:ascii="Times New Roman" w:eastAsia="Times New Roman" w:hAnsi="Times New Roman" w:cs="Times New Roman"/>
                <w:i/>
                <w:iCs/>
                <w:color w:val="000000"/>
                <w:sz w:val="16"/>
                <w:szCs w:val="16"/>
                <w:lang w:val="vi-VN"/>
              </w:rPr>
              <w:t>(Ký, ghi rõ họ tên, đóng dấu)</w:t>
            </w:r>
            <w:r w:rsidRPr="001E397C">
              <w:rPr>
                <w:rFonts w:ascii="Times New Roman" w:eastAsia="Times New Roman" w:hAnsi="Times New Roman" w:cs="Times New Roman"/>
                <w:i/>
                <w:iCs/>
                <w:color w:val="000000"/>
                <w:sz w:val="16"/>
                <w:szCs w:val="16"/>
                <w:lang w:val="vi-VN"/>
              </w:rPr>
              <w:br/>
            </w:r>
          </w:p>
        </w:tc>
      </w:tr>
    </w:tbl>
    <w:p w:rsidR="00A507A7" w:rsidRDefault="00A507A7"/>
    <w:sectPr w:rsidR="00A507A7" w:rsidSect="00F072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E397C"/>
    <w:rsid w:val="001E397C"/>
    <w:rsid w:val="00A507A7"/>
    <w:rsid w:val="00F07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68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3661</Characters>
  <Application>Microsoft Office Word</Application>
  <DocSecurity>0</DocSecurity>
  <Lines>30</Lines>
  <Paragraphs>8</Paragraphs>
  <ScaleCrop>false</ScaleCrop>
  <Company>Grizli777</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2023-01-11T02:06:00Z</dcterms:created>
  <dcterms:modified xsi:type="dcterms:W3CDTF">2023-01-11T02:08:00Z</dcterms:modified>
</cp:coreProperties>
</file>