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736" w:rsidRDefault="005A0736" w:rsidP="005A0736">
      <w:pPr>
        <w:pStyle w:val="NormalWeb"/>
        <w:shd w:val="clear" w:color="auto" w:fill="FFFFFF"/>
        <w:spacing w:before="288" w:beforeAutospacing="0" w:after="0" w:afterAutospacing="0"/>
        <w:jc w:val="center"/>
        <w:rPr>
          <w:rFonts w:ascii="Arial" w:hAnsi="Arial" w:cs="Arial"/>
        </w:rPr>
      </w:pPr>
      <w:r>
        <w:rPr>
          <w:rStyle w:val="Strong"/>
          <w:rFonts w:ascii="inherit" w:hAnsi="inherit" w:cs="Arial"/>
          <w:bdr w:val="none" w:sz="0" w:space="0" w:color="auto" w:frame="1"/>
        </w:rPr>
        <w:t>CHƯƠNG TRÌNH HỘI NGHỊ</w:t>
      </w:r>
    </w:p>
    <w:p w:rsidR="005A0736" w:rsidRDefault="005A0736" w:rsidP="005A0736">
      <w:pPr>
        <w:pStyle w:val="NormalWeb"/>
        <w:shd w:val="clear" w:color="auto" w:fill="FFFFFF"/>
        <w:spacing w:before="288" w:beforeAutospacing="0" w:after="0" w:afterAutospacing="0"/>
        <w:jc w:val="center"/>
        <w:rPr>
          <w:rFonts w:ascii="Arial" w:hAnsi="Arial" w:cs="Arial"/>
        </w:rPr>
      </w:pPr>
      <w:r>
        <w:rPr>
          <w:rStyle w:val="Strong"/>
          <w:rFonts w:ascii="inherit" w:hAnsi="inherit" w:cs="Arial"/>
          <w:bdr w:val="none" w:sz="0" w:space="0" w:color="auto" w:frame="1"/>
        </w:rPr>
        <w:t>Lấy phiếu tín nhiệm giới thiệu nhân sự để bổ nhiệm</w:t>
      </w:r>
      <w:r>
        <w:rPr>
          <w:rFonts w:ascii="inherit" w:hAnsi="inherit" w:cs="Arial"/>
          <w:b/>
          <w:bCs/>
          <w:bdr w:val="none" w:sz="0" w:space="0" w:color="auto" w:frame="1"/>
        </w:rPr>
        <w:br/>
      </w:r>
      <w:r>
        <w:rPr>
          <w:rStyle w:val="Strong"/>
          <w:rFonts w:ascii="inherit" w:hAnsi="inherit" w:cs="Arial"/>
          <w:bdr w:val="none" w:sz="0" w:space="0" w:color="auto" w:frame="1"/>
        </w:rPr>
        <w:t>(lấy phiếu tín nhiệm bổ nhiệm lại) chức vụ</w:t>
      </w:r>
      <w:r>
        <w:rPr>
          <w:rFonts w:ascii="Arial" w:hAnsi="Arial" w:cs="Arial"/>
        </w:rPr>
        <w:t>...........................................................</w:t>
      </w:r>
    </w:p>
    <w:p w:rsidR="005A0736" w:rsidRDefault="005A0736" w:rsidP="005A0736">
      <w:pPr>
        <w:pStyle w:val="NormalWeb"/>
        <w:shd w:val="clear" w:color="auto" w:fill="FFFFFF"/>
        <w:spacing w:before="288" w:beforeAutospacing="0" w:after="0" w:afterAutospacing="0"/>
        <w:jc w:val="center"/>
        <w:rPr>
          <w:rFonts w:ascii="Arial" w:hAnsi="Arial" w:cs="Arial"/>
        </w:rPr>
      </w:pPr>
      <w:r>
        <w:rPr>
          <w:rStyle w:val="Emphasis"/>
          <w:rFonts w:ascii="inherit" w:hAnsi="inherit" w:cs="Arial"/>
          <w:bdr w:val="none" w:sz="0" w:space="0" w:color="auto" w:frame="1"/>
        </w:rPr>
        <w:t>(Từ ............. giờ, ngày ........../........../201.... tại.......................................................... )</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1. Bộ phận tổ chức cán bộ của cơ quan, đơn vị nêu lý do tổ chức hội nghị, giới thiệu đại biểu và thành phần dự hội nghị.</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2. Đại diện lãnh đạo cơ quan, đơn vị cấp trên </w:t>
      </w:r>
      <w:r>
        <w:rPr>
          <w:rStyle w:val="Emphasis"/>
          <w:rFonts w:ascii="inherit" w:hAnsi="inherit" w:cs="Arial"/>
          <w:bdr w:val="none" w:sz="0" w:space="0" w:color="auto" w:frame="1"/>
        </w:rPr>
        <w:t>(hoặc lãnh đạo Sở Nội vụ, nếu nhân sự bổ nhiệm, bổ nhiệm lại là lãnh đạo Sở, Ban, ngành tỉnh)</w:t>
      </w:r>
      <w:r>
        <w:rPr>
          <w:rFonts w:ascii="Arial" w:hAnsi="Arial" w:cs="Arial"/>
        </w:rPr>
        <w:t> nêu yêu cầu tổ chức hội nghị, quán triệt tiêu chuẩn cán bộ lãnh đạo, quản lý theo quy định của Đảng, Nhà nước và của tỉnh.</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3. Đại diện lãnh đạo cơ quan, đơn vị</w:t>
      </w:r>
      <w:bookmarkStart w:id="0" w:name="_GoBack"/>
      <w:bookmarkEnd w:id="0"/>
      <w:r>
        <w:rPr>
          <w:rFonts w:ascii="Arial" w:hAnsi="Arial" w:cs="Arial"/>
        </w:rPr>
        <w:t xml:space="preserve"> thông báo về quy hoạch cán bộ lãnh đạo, cơ quan đơn vị đã được cấp có thẩm quyền phê duyệt; dự kiến nhân sự đưa ra lấy phiếu; trình bày bản sơ lược lý lịch, tóm tắt quá trình công tác, nhận xét, đánh giá về nhân sự đưa ra lấy phiếu </w:t>
      </w:r>
      <w:r>
        <w:rPr>
          <w:rStyle w:val="Emphasis"/>
          <w:rFonts w:ascii="inherit" w:hAnsi="inherit" w:cs="Arial"/>
          <w:bdr w:val="none" w:sz="0" w:space="0" w:color="auto" w:frame="1"/>
        </w:rPr>
        <w:t>(đối với hội nghị lấy phiếu giới thiệu nhân sự để bổ nhiệm chức vụ).</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Công chức, viên chức trình bày bản tự kiểm điểm, đánh giá việc thực hiện chức trách, nhiệm vụ trong thời gian giữ chức vụ lãnh đạo (</w:t>
      </w:r>
      <w:r>
        <w:rPr>
          <w:rStyle w:val="Emphasis"/>
          <w:rFonts w:ascii="inherit" w:hAnsi="inherit" w:cs="Arial"/>
          <w:bdr w:val="none" w:sz="0" w:space="0" w:color="auto" w:frame="1"/>
        </w:rPr>
        <w:t>đối với hội nghị lấy phiếu tín nhiệm bổ nhiệm lại chức vụ).</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4. Đại diện lãnh đạo cơ quan, đơn vị đề nghị công chức, viên chức dự hội nghị phát biểu về ưu điểm, nhược điểm của nhân sự đưa ra lấy ý kiến giới thiệu để bổ nhiệm chức vụ hoặc đưa ra lấy ý kiến để bổ nhiệm lại chức vụ và có thể trình bày ý kiến của mình về việc đồng ý giới thiệu nhân sự để bổ nhiệm chức vụ hoặc bổ nhiệm lại, không bổ nhiệm lại chức vụ.</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5. Công chức, viên chức được đưa ra lấy ý kiến bổ nhiệm lại chức vụ, phát biểu tiếp thu các ý kiến góp ý (</w:t>
      </w:r>
      <w:r>
        <w:rPr>
          <w:rStyle w:val="Emphasis"/>
          <w:rFonts w:ascii="inherit" w:hAnsi="inherit" w:cs="Arial"/>
          <w:bdr w:val="none" w:sz="0" w:space="0" w:color="auto" w:frame="1"/>
        </w:rPr>
        <w:t>đối với hội nghị lấy phiếu tín nhiệm bổ nhiệm lại chức vụ).</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6. Bộ phận tổ chức cán bộ của cơ quan, đơn vị phát phiếu và hướng dẫn cách ghi phiếu;</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7. Hội nghị bỏ phiếu.</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8. Giao nhận phiếu giữa bộ phận tổ chức cán bộ của cơ quan, đơn vị và bộ phận tổ chức cán bộ của cơ quan, đơn vị cấp trên trực tiếp </w:t>
      </w:r>
      <w:r>
        <w:rPr>
          <w:rStyle w:val="Emphasis"/>
          <w:rFonts w:ascii="inherit" w:hAnsi="inherit" w:cs="Arial"/>
          <w:bdr w:val="none" w:sz="0" w:space="0" w:color="auto" w:frame="1"/>
        </w:rPr>
        <w:t>(nếu nhân sự đưa ra lấy phiếu là lãnh đạo Sở, Ban, ngành, nhận bàn giao phiếu là Phòng Tổ chức, biên chế của Sở Nội vụ)</w:t>
      </w:r>
      <w:r>
        <w:rPr>
          <w:rFonts w:ascii="Arial" w:hAnsi="Arial" w:cs="Arial"/>
        </w:rPr>
        <w:t>.</w:t>
      </w:r>
    </w:p>
    <w:p w:rsidR="005A0736" w:rsidRDefault="005A0736" w:rsidP="005A0736">
      <w:pPr>
        <w:pStyle w:val="NormalWeb"/>
        <w:shd w:val="clear" w:color="auto" w:fill="FFFFFF"/>
        <w:spacing w:before="288" w:beforeAutospacing="0" w:after="0" w:afterAutospacing="0"/>
        <w:rPr>
          <w:rFonts w:ascii="Arial" w:hAnsi="Arial" w:cs="Arial"/>
        </w:rPr>
      </w:pPr>
      <w:r>
        <w:rPr>
          <w:rFonts w:ascii="Arial" w:hAnsi="Arial" w:cs="Arial"/>
        </w:rPr>
        <w:t>9. Đại diện lãnh đạo cơ quan, đơn vị phát biểu kết thúc hội nghị./</w:t>
      </w:r>
    </w:p>
    <w:p w:rsidR="00086A21" w:rsidRDefault="00086A21">
      <w:pPr>
        <w:spacing w:before="288"/>
      </w:pPr>
    </w:p>
    <w:sectPr w:rsidR="000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36"/>
    <w:rsid w:val="00086A21"/>
    <w:rsid w:val="005A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C0B9F-D19E-40B3-8720-F6F69E71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736"/>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A0736"/>
    <w:rPr>
      <w:b/>
      <w:bCs/>
    </w:rPr>
  </w:style>
  <w:style w:type="character" w:styleId="Emphasis">
    <w:name w:val="Emphasis"/>
    <w:basedOn w:val="DefaultParagraphFont"/>
    <w:uiPriority w:val="20"/>
    <w:qFormat/>
    <w:rsid w:val="005A0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2024-10-01T09:59:00Z</dcterms:created>
  <dcterms:modified xsi:type="dcterms:W3CDTF">2024-10-01T10:00:00Z</dcterms:modified>
</cp:coreProperties>
</file>