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303" w:rsidRPr="00012303" w:rsidRDefault="00012303" w:rsidP="00012303">
      <w:pPr>
        <w:pStyle w:val="NormalWeb"/>
        <w:spacing w:before="0" w:beforeAutospacing="0" w:after="0" w:afterAutospacing="0" w:line="234" w:lineRule="atLeast"/>
        <w:jc w:val="center"/>
        <w:rPr>
          <w:color w:val="000000"/>
          <w:sz w:val="26"/>
          <w:szCs w:val="26"/>
        </w:rPr>
      </w:pPr>
      <w:bookmarkStart w:id="0" w:name="chuong_pl"/>
      <w:r w:rsidRPr="00012303">
        <w:rPr>
          <w:b/>
          <w:bCs/>
          <w:color w:val="000000"/>
          <w:sz w:val="26"/>
          <w:szCs w:val="26"/>
          <w:lang w:val="vi-VN"/>
        </w:rPr>
        <w:t>PHỤ LỤC</w:t>
      </w:r>
      <w:bookmarkEnd w:id="0"/>
    </w:p>
    <w:p w:rsidR="00012303" w:rsidRPr="00012303" w:rsidRDefault="00012303" w:rsidP="00012303">
      <w:pPr>
        <w:pStyle w:val="NormalWeb"/>
        <w:spacing w:before="0" w:beforeAutospacing="0" w:after="0" w:afterAutospacing="0" w:line="234" w:lineRule="atLeast"/>
        <w:jc w:val="center"/>
        <w:rPr>
          <w:color w:val="000000"/>
          <w:sz w:val="26"/>
          <w:szCs w:val="26"/>
        </w:rPr>
      </w:pPr>
      <w:bookmarkStart w:id="1" w:name="chuong_pl_name"/>
      <w:r w:rsidRPr="00012303">
        <w:rPr>
          <w:color w:val="000000"/>
          <w:sz w:val="26"/>
          <w:szCs w:val="26"/>
          <w:lang w:val="vi-VN"/>
        </w:rPr>
        <w:t>HƯỚNG DẪN MINH CHỨNG VÀ CHẤM ĐIỂM HỒ SƠ XÉT THĂNG HẠNG CHỨC DANH NGHỀ NGHIỆP GIÁO VIÊN MẦM NON, PHỔ THÔNG CÔNG LẬP</w:t>
      </w:r>
      <w:bookmarkEnd w:id="1"/>
      <w:r w:rsidRPr="00012303">
        <w:rPr>
          <w:color w:val="000000"/>
          <w:sz w:val="26"/>
          <w:szCs w:val="26"/>
          <w:lang w:val="vi-VN"/>
        </w:rPr>
        <w:br/>
      </w:r>
      <w:r w:rsidRPr="00012303">
        <w:rPr>
          <w:i/>
          <w:iCs/>
          <w:color w:val="000000"/>
          <w:sz w:val="26"/>
          <w:szCs w:val="26"/>
          <w:lang w:val="vi-VN"/>
        </w:rPr>
        <w:t>(Kèm theo Thông tư s</w:t>
      </w:r>
      <w:r w:rsidRPr="00012303">
        <w:rPr>
          <w:i/>
          <w:iCs/>
          <w:color w:val="000000"/>
          <w:sz w:val="26"/>
          <w:szCs w:val="26"/>
        </w:rPr>
        <w:t>ố 34</w:t>
      </w:r>
      <w:r w:rsidRPr="00012303">
        <w:rPr>
          <w:i/>
          <w:iCs/>
          <w:color w:val="000000"/>
          <w:sz w:val="26"/>
          <w:szCs w:val="26"/>
          <w:lang w:val="vi-VN"/>
        </w:rPr>
        <w:t>/2021/TT-BGDĐT ngày </w:t>
      </w:r>
      <w:r w:rsidRPr="00012303">
        <w:rPr>
          <w:i/>
          <w:iCs/>
          <w:color w:val="000000"/>
          <w:sz w:val="26"/>
          <w:szCs w:val="26"/>
        </w:rPr>
        <w:t>30 </w:t>
      </w:r>
      <w:r w:rsidRPr="00012303">
        <w:rPr>
          <w:i/>
          <w:iCs/>
          <w:color w:val="000000"/>
          <w:sz w:val="26"/>
          <w:szCs w:val="26"/>
          <w:lang w:val="vi-VN"/>
        </w:rPr>
        <w:t>tháng 11 năm 2021 của Bộ Giáo dục và Đào tạo)</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b/>
          <w:bCs/>
          <w:color w:val="000000"/>
          <w:sz w:val="26"/>
          <w:szCs w:val="26"/>
        </w:rPr>
        <w:t>A. </w:t>
      </w:r>
      <w:r w:rsidRPr="00012303">
        <w:rPr>
          <w:b/>
          <w:bCs/>
          <w:color w:val="000000"/>
          <w:sz w:val="26"/>
          <w:szCs w:val="26"/>
          <w:lang w:val="vi-VN"/>
        </w:rPr>
        <w:t>Hướng dẫn minh chứng và chấm điểm các nhóm tiêu chí quy định tại khoản 1 Điều 6 Thông tư này</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lang w:val="vi-VN"/>
        </w:rPr>
        <w:t>Hồ sơ xét thăng hạng được chấm theo thang điểm 100 bao gồm các điểm thành phần sau:</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b/>
          <w:bCs/>
          <w:i/>
          <w:iCs/>
          <w:color w:val="000000"/>
          <w:sz w:val="26"/>
          <w:szCs w:val="26"/>
        </w:rPr>
        <w:t>I. </w:t>
      </w:r>
      <w:r w:rsidRPr="00012303">
        <w:rPr>
          <w:b/>
          <w:bCs/>
          <w:i/>
          <w:iCs/>
          <w:color w:val="000000"/>
          <w:sz w:val="26"/>
          <w:szCs w:val="26"/>
          <w:lang w:val="vi-VN"/>
        </w:rPr>
        <w:t>Điểm chấm nhóm tiêu chí về tiêu chuẩn trình độ đào tạo, bồi dưỡng (20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lang w:val="vi-VN"/>
        </w:rPr>
        <w:t>Bao gồm các bằng cấp, chứng chỉ theo quy định về tiêu chuẩn trình độ đào tạo, bồi dưỡng của hạng đăng ký dự xét.</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b/>
          <w:bCs/>
          <w:i/>
          <w:iCs/>
          <w:color w:val="000000"/>
          <w:sz w:val="26"/>
          <w:szCs w:val="26"/>
        </w:rPr>
        <w:t>II</w:t>
      </w:r>
      <w:r w:rsidRPr="00012303">
        <w:rPr>
          <w:b/>
          <w:bCs/>
          <w:i/>
          <w:iCs/>
          <w:color w:val="000000"/>
          <w:sz w:val="26"/>
          <w:szCs w:val="26"/>
          <w:lang w:val="vi-VN"/>
        </w:rPr>
        <w:t>. Điểm chấm nhóm tiêu chí về tiêu chuẩn năng lực chuyên môn, nghiệp vụ (80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lang w:val="vi-VN"/>
        </w:rPr>
        <w:t>Bao gồm các minh chứng sau:</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 </w:t>
      </w:r>
      <w:r w:rsidRPr="00012303">
        <w:rPr>
          <w:color w:val="000000"/>
          <w:sz w:val="26"/>
          <w:szCs w:val="26"/>
          <w:lang w:val="vi-VN"/>
        </w:rPr>
        <w:t>Biên bản cuộc họp với sự tham gia của Hiệu trưởng, Phó hiệu trưởng phụ trách chuyên môn, tổ chuyên môn, đại diện các tổ chức đoàn thể trong nhà trường ghi ý kiến nhận xét, đánh giá từng tiêu chí có xác nhận của hiệu trưởng; các minh chứng khác (nếu có) thể hiện việc đáp ứng tiêu chuẩn năng lực chuyên môn, nghiệp vụ để có thể đảm nhận nhiệm vụ của hạng dự xét như các văn bằng, chứng chỉ, chứng nhận, quyết định, bằng khen, giấy khen, đề tài, đề án hoặc sản phẩm được ứng dụng trong giáo dục, giảng dạy học sinh và tài liệu có liên quan: 45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 </w:t>
      </w:r>
      <w:r w:rsidRPr="00012303">
        <w:rPr>
          <w:color w:val="000000"/>
          <w:sz w:val="26"/>
          <w:szCs w:val="26"/>
          <w:lang w:val="vi-VN"/>
        </w:rPr>
        <w:t>Minh chứng về các danh hiệu thi đua, khen thưởng, các danh hiệu giáo viên giỏi theo yêu cầu của hạng đăng ký dự xét: 20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 </w:t>
      </w:r>
      <w:r w:rsidRPr="00012303">
        <w:rPr>
          <w:color w:val="000000"/>
          <w:sz w:val="26"/>
          <w:szCs w:val="26"/>
          <w:lang w:val="vi-VN"/>
        </w:rPr>
        <w:t>Minh chứng về thời gian giữ hạng chức danh nghề nghiệp thấp hơn liền kề (bao gồm cả thời gian giữ hạng tương đương theo quy định) theo yêu cầu của hạng đăng ký dự xét: 15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b/>
          <w:bCs/>
          <w:color w:val="000000"/>
          <w:sz w:val="26"/>
          <w:szCs w:val="26"/>
        </w:rPr>
        <w:t>B. </w:t>
      </w:r>
      <w:r w:rsidRPr="00012303">
        <w:rPr>
          <w:b/>
          <w:bCs/>
          <w:color w:val="000000"/>
          <w:sz w:val="26"/>
          <w:szCs w:val="26"/>
          <w:lang w:val="vi-VN"/>
        </w:rPr>
        <w:t>Hướng dẫn minh chứng và chấm điểm về thực hiện nhiệm vụ của hạng II đối với giáo viên đăng ký dự xét thăng hạng </w:t>
      </w:r>
      <w:r w:rsidRPr="00012303">
        <w:rPr>
          <w:b/>
          <w:bCs/>
          <w:color w:val="000000"/>
          <w:sz w:val="26"/>
          <w:szCs w:val="26"/>
        </w:rPr>
        <w:t>từ </w:t>
      </w:r>
      <w:r w:rsidRPr="00012303">
        <w:rPr>
          <w:b/>
          <w:bCs/>
          <w:color w:val="000000"/>
          <w:sz w:val="26"/>
          <w:szCs w:val="26"/>
          <w:lang w:val="vi-VN"/>
        </w:rPr>
        <w:t>hạng III lên hạng II trong trường hợp số lượng hồ sơ xét thăng hạng đáp ứng yêu cầu tại khoản 1 Điều 7 Thông tư này nhiều hơn số chỉ tiêu thăng hạng được cấp có thẩm quyền giao</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b/>
          <w:bCs/>
          <w:i/>
          <w:iCs/>
          <w:color w:val="000000"/>
          <w:sz w:val="26"/>
          <w:szCs w:val="26"/>
        </w:rPr>
        <w:t>I. </w:t>
      </w:r>
      <w:r w:rsidRPr="00012303">
        <w:rPr>
          <w:b/>
          <w:bCs/>
          <w:i/>
          <w:iCs/>
          <w:color w:val="000000"/>
          <w:sz w:val="26"/>
          <w:szCs w:val="26"/>
          <w:lang w:val="vi-VN"/>
        </w:rPr>
        <w:t>Điểm chấm minh chứng về thực hiện </w:t>
      </w:r>
      <w:r w:rsidRPr="00012303">
        <w:rPr>
          <w:b/>
          <w:bCs/>
          <w:i/>
          <w:iCs/>
          <w:color w:val="000000"/>
          <w:sz w:val="26"/>
          <w:szCs w:val="26"/>
        </w:rPr>
        <w:t>nhiệm </w:t>
      </w:r>
      <w:r w:rsidRPr="00012303">
        <w:rPr>
          <w:b/>
          <w:bCs/>
          <w:i/>
          <w:iCs/>
          <w:color w:val="000000"/>
          <w:sz w:val="26"/>
          <w:szCs w:val="26"/>
          <w:lang w:val="vi-VN"/>
        </w:rPr>
        <w:t>vụ của hạng II mà giáo viên đã thực hiện và đạt kết quả (nếu có):</w:t>
      </w:r>
      <w:r w:rsidRPr="00012303">
        <w:rPr>
          <w:color w:val="000000"/>
          <w:sz w:val="26"/>
          <w:szCs w:val="26"/>
          <w:lang w:val="vi-VN"/>
        </w:rPr>
        <w:t> Mỗi nhóm nhiệm vụ được tính tối đa 1,0 điểm, không chấm điểm đối với minh chứng về các nhiệm vụ của hạng III, không làm tròn số khi cộng các điểm thành phần, điểm của từng nhiệm vụ trong mỗi nhóm nhiệm vụ do Hội đồng xét thăng hạng quy định. Cụ thể:</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b/>
          <w:bCs/>
          <w:color w:val="000000"/>
          <w:sz w:val="26"/>
          <w:szCs w:val="26"/>
        </w:rPr>
        <w:t>* </w:t>
      </w:r>
      <w:r w:rsidRPr="00012303">
        <w:rPr>
          <w:b/>
          <w:bCs/>
          <w:color w:val="000000"/>
          <w:sz w:val="26"/>
          <w:szCs w:val="26"/>
          <w:lang w:val="vi-VN"/>
        </w:rPr>
        <w:t>Đối với giáo viên mầm non</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a) </w:t>
      </w:r>
      <w:r w:rsidRPr="00012303">
        <w:rPr>
          <w:color w:val="000000"/>
          <w:sz w:val="26"/>
          <w:szCs w:val="26"/>
          <w:lang w:val="vi-VN"/>
        </w:rPr>
        <w:t>Làm báo cáo viên hoặc dạy minh họa tại các lớp bồi dưỡng giáo viên mầm non cấp trường trở lên; hướng dẫn đồng nghiệp thực hiện chương trình và các hoạt động nuôi dưỡng, chăm sóc, giáo dục trẻ em: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lastRenderedPageBreak/>
        <w:t>b) </w:t>
      </w:r>
      <w:r w:rsidRPr="00012303">
        <w:rPr>
          <w:color w:val="000000"/>
          <w:sz w:val="26"/>
          <w:szCs w:val="26"/>
          <w:lang w:val="vi-VN"/>
        </w:rPr>
        <w:t>Đề xuất các nội dung bồi dưỡng và sinh hoạt chuyên đề ở tổ (khối) chuyên môn: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c) </w:t>
      </w:r>
      <w:r w:rsidRPr="00012303">
        <w:rPr>
          <w:color w:val="000000"/>
          <w:sz w:val="26"/>
          <w:szCs w:val="26"/>
          <w:lang w:val="vi-VN"/>
        </w:rPr>
        <w:t>Tham gia ban giám khảo các hội thi cấp học mầm non từ cấp trường trở lên: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d) </w:t>
      </w:r>
      <w:r w:rsidRPr="00012303">
        <w:rPr>
          <w:color w:val="000000"/>
          <w:sz w:val="26"/>
          <w:szCs w:val="26"/>
          <w:lang w:val="vi-VN"/>
        </w:rPr>
        <w:t>Tham gia các hoạt động chuyên môn khác như hội đồng tự đánh giá hoặc đoàn đánh giá ngoài; ki</w:t>
      </w:r>
      <w:r w:rsidRPr="00012303">
        <w:rPr>
          <w:color w:val="000000"/>
          <w:sz w:val="26"/>
          <w:szCs w:val="26"/>
        </w:rPr>
        <w:t>ể</w:t>
      </w:r>
      <w:r w:rsidRPr="00012303">
        <w:rPr>
          <w:color w:val="000000"/>
          <w:sz w:val="26"/>
          <w:szCs w:val="26"/>
          <w:lang w:val="vi-VN"/>
        </w:rPr>
        <w:t>m tra chuyên môn, nghiệp vụ sư phạm cấp trường trở lên; tham gia hướng dẫn, đánh giá thực tập sư phạm của sinh viên (nếu có):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b/>
          <w:bCs/>
          <w:color w:val="000000"/>
          <w:sz w:val="26"/>
          <w:szCs w:val="26"/>
        </w:rPr>
        <w:t>* </w:t>
      </w:r>
      <w:r w:rsidRPr="00012303">
        <w:rPr>
          <w:b/>
          <w:bCs/>
          <w:color w:val="000000"/>
          <w:sz w:val="26"/>
          <w:szCs w:val="26"/>
          <w:lang w:val="vi-VN"/>
        </w:rPr>
        <w:t>Đối với giáo viên tiểu học</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a) </w:t>
      </w:r>
      <w:r w:rsidRPr="00012303">
        <w:rPr>
          <w:color w:val="000000"/>
          <w:sz w:val="26"/>
          <w:szCs w:val="26"/>
          <w:lang w:val="vi-VN"/>
        </w:rPr>
        <w:t>Là báo cáo viên hoặc dạy minh họa ở các lớp bồi dưỡng giáo viên tiểu học hoặc dạy thử nghiệm các mô hình, phương pháp mới từ cấp trường trở lên: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b) </w:t>
      </w:r>
      <w:r w:rsidRPr="00012303">
        <w:rPr>
          <w:color w:val="000000"/>
          <w:sz w:val="26"/>
          <w:szCs w:val="26"/>
          <w:lang w:val="vi-VN"/>
        </w:rPr>
        <w:t>Chủ trì các nội dung bồi dưỡng và sinh hoạt chuyên môn/chuyên đề ở tổ, khối chuyên môn; tham gia đánh giá, xét duyệt đề tài nghiên cứu khoa học sư phạm ứng dụng của đồng nghiệp từ cấp trường trở lên: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c) </w:t>
      </w:r>
      <w:r w:rsidRPr="00012303">
        <w:rPr>
          <w:color w:val="000000"/>
          <w:sz w:val="26"/>
          <w:szCs w:val="26"/>
          <w:lang w:val="vi-VN"/>
        </w:rPr>
        <w:t>Tham gia ban giám khảo hội thi giáo viên dạy giỏi, giáo viên chủ nhiệm lớp giỏi, giáo viên làm Tổng phụ trách Đội Thiếu niên tiền phong Hồ Chí Minh giỏi từ cấp trường trở lên; thực hiện các nhiệm vụ của giáo viên cốt cán trường tiểu học: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d) </w:t>
      </w:r>
      <w:r w:rsidRPr="00012303">
        <w:rPr>
          <w:color w:val="000000"/>
          <w:sz w:val="26"/>
          <w:szCs w:val="26"/>
          <w:lang w:val="vi-VN"/>
        </w:rPr>
        <w:t>Tham gia các hoạt động chuyên môn khác như kiểm định chất lượng giáo dục, thanh tra, kiểm tra chuyên môn, nghiệp vụ sư phạm từ cấp trường trở lên; tham gia hướng dẫn, đánh giá thực tập sư phạm của sinh viên (nếu có):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b/>
          <w:bCs/>
          <w:color w:val="000000"/>
          <w:sz w:val="26"/>
          <w:szCs w:val="26"/>
        </w:rPr>
        <w:t>* </w:t>
      </w:r>
      <w:r w:rsidRPr="00012303">
        <w:rPr>
          <w:b/>
          <w:bCs/>
          <w:color w:val="000000"/>
          <w:sz w:val="26"/>
          <w:szCs w:val="26"/>
          <w:lang w:val="vi-VN"/>
        </w:rPr>
        <w:t>Đối với giáo viên trung học </w:t>
      </w:r>
      <w:r w:rsidRPr="00012303">
        <w:rPr>
          <w:b/>
          <w:bCs/>
          <w:color w:val="000000"/>
          <w:sz w:val="26"/>
          <w:szCs w:val="26"/>
        </w:rPr>
        <w:t>cơ sở</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a) </w:t>
      </w:r>
      <w:r w:rsidRPr="00012303">
        <w:rPr>
          <w:color w:val="000000"/>
          <w:sz w:val="26"/>
          <w:szCs w:val="26"/>
          <w:lang w:val="vi-VN"/>
        </w:rPr>
        <w:t>Làm báo cáo viên hoặc dạy minh họa ở các lớp bồi dưỡng giáo viên hoặc dạy thử nghiệm các mô hình, phương pháp, công nghệ mới từ cấp trường trở lên; chủ trì các nội dung bồi dưỡng và sinh hoạt chuyên đề ở tổ chuyên môn hoặc tham gia xây dựng học liệu điện tử: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b) </w:t>
      </w:r>
      <w:r w:rsidRPr="00012303">
        <w:rPr>
          <w:color w:val="000000"/>
          <w:sz w:val="26"/>
          <w:szCs w:val="26"/>
          <w:lang w:val="vi-VN"/>
        </w:rPr>
        <w:t>Tham gia hướng dẫn hoặc đánh giá các sản phẩm nghiên cứu khoa học và công nghệ từ cấp trường trở lên: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c) </w:t>
      </w:r>
      <w:r w:rsidRPr="00012303">
        <w:rPr>
          <w:color w:val="000000"/>
          <w:sz w:val="26"/>
          <w:szCs w:val="26"/>
          <w:lang w:val="vi-VN"/>
        </w:rPr>
        <w:t>Tham gia các hoạt động xã hội, phục vụ cộng đồng; thu hút sự tham gia của các tổ chức, cá nhân trong việc tổ chức các hoạt động dạy học, g</w:t>
      </w:r>
      <w:bookmarkStart w:id="2" w:name="_GoBack"/>
      <w:bookmarkEnd w:id="2"/>
      <w:r w:rsidRPr="00012303">
        <w:rPr>
          <w:color w:val="000000"/>
          <w:sz w:val="26"/>
          <w:szCs w:val="26"/>
          <w:lang w:val="vi-VN"/>
        </w:rPr>
        <w:t>iáo dục học sinh: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d) </w:t>
      </w:r>
      <w:r w:rsidRPr="00012303">
        <w:rPr>
          <w:color w:val="000000"/>
          <w:sz w:val="26"/>
          <w:szCs w:val="26"/>
          <w:lang w:val="vi-VN"/>
        </w:rPr>
        <w:t>Tham gia đoàn đánh giá ngoài; hoặc công tác kiểm tra chuyên môn, nghiệp vụ cho giáo viên từ cấp trường trở lên: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lang w:val="vi-VN"/>
        </w:rPr>
        <w:t>đ) Tham gia ban giám khảo hoặc ban ra đề hoặc người hướng dẫn trong các hội thi (của giáo viên hoặc học sinh) từ cấp trường trở lên (nếu có):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 </w:t>
      </w:r>
      <w:r w:rsidRPr="00012303">
        <w:rPr>
          <w:color w:val="000000"/>
          <w:sz w:val="26"/>
          <w:szCs w:val="26"/>
          <w:lang w:val="vi-VN"/>
        </w:rPr>
        <w:t>Đối với giáo viên trung học phổ thông</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a) </w:t>
      </w:r>
      <w:r w:rsidRPr="00012303">
        <w:rPr>
          <w:color w:val="000000"/>
          <w:sz w:val="26"/>
          <w:szCs w:val="26"/>
          <w:lang w:val="vi-VN"/>
        </w:rPr>
        <w:t>Làm báo cáo viên hoặc dạy minh họa ở các lớp bồi dưỡng giáo viên từ cấp trường trở lên hoặc dạy thử nghiệm các mô hình, phương pháp, công nghệ mới; chủ trì các nội dung bồi dưỡng và sinh hoạt chuyên đề ở tổ chuyên môn hoặc tham gia xây dựng học liệu điện tử: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lastRenderedPageBreak/>
        <w:t>b) </w:t>
      </w:r>
      <w:r w:rsidRPr="00012303">
        <w:rPr>
          <w:color w:val="000000"/>
          <w:sz w:val="26"/>
          <w:szCs w:val="26"/>
          <w:lang w:val="vi-VN"/>
        </w:rPr>
        <w:t>Tham gia hướng dẫn hoặc đánh giá các sản phẩm nghiên cứu khoa học và công nghệ từ cấp trường trở lên: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c) </w:t>
      </w:r>
      <w:r w:rsidRPr="00012303">
        <w:rPr>
          <w:color w:val="000000"/>
          <w:sz w:val="26"/>
          <w:szCs w:val="26"/>
          <w:lang w:val="vi-VN"/>
        </w:rPr>
        <w:t>Tham gia đánh giá ngoài hoặc công tác kiểm tra chuyên môn, nghiệp vụ cho giáo viên từ cấp trường trở lên: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d) </w:t>
      </w:r>
      <w:r w:rsidRPr="00012303">
        <w:rPr>
          <w:color w:val="000000"/>
          <w:sz w:val="26"/>
          <w:szCs w:val="26"/>
          <w:lang w:val="vi-VN"/>
        </w:rPr>
        <w:t>Tham gia ban giám khảo hội thi giáo viên dạy giỏi hoặc giáo viên chủ nhiệm lớp giỏi cấp trường trở lên: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lang w:val="vi-VN"/>
        </w:rPr>
        <w:t>đ) Tham gia ra đề hoặc chấm thi học sinh giỏi trung học phổ thông từ cấp trường trở lên: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e) </w:t>
      </w:r>
      <w:r w:rsidRPr="00012303">
        <w:rPr>
          <w:color w:val="000000"/>
          <w:sz w:val="26"/>
          <w:szCs w:val="26"/>
          <w:lang w:val="vi-VN"/>
        </w:rPr>
        <w:t>Tham gia hướng dẫn hoặc đánh giá các hội thi hoặc các sản phẩm nghiên cứu khoa học kỹ thuật của học sinh trung học phổ thông từ cấp trường trở lên: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lang w:val="vi-VN"/>
        </w:rPr>
        <w:t>g) Tham gia các hoạt động xã hội, phục vụ cộng đồng; thu hút sự tham gia của các tổ chức, cá nhân trong việc tổ chức các hoạt động dạy học, giáo dục học sinh: 1,0 điểm.</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b/>
          <w:bCs/>
          <w:i/>
          <w:iCs/>
          <w:color w:val="000000"/>
          <w:sz w:val="26"/>
          <w:szCs w:val="26"/>
          <w:lang w:val="vi-VN"/>
        </w:rPr>
        <w:t>II. Gợi ý minh chứng về các nhiệm vụ của hạng II mà giáo viên đã thực hiện và đạt kết quả:</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 </w:t>
      </w:r>
      <w:r w:rsidRPr="00012303">
        <w:rPr>
          <w:color w:val="000000"/>
          <w:sz w:val="26"/>
          <w:szCs w:val="26"/>
          <w:lang w:val="vi-VN"/>
        </w:rPr>
        <w:t>Quyết định/văn bản phân công nhiệm vụ/văn bản triệu tập của cấp có thẩm quyền;</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 </w:t>
      </w:r>
      <w:r w:rsidRPr="00012303">
        <w:rPr>
          <w:color w:val="000000"/>
          <w:sz w:val="26"/>
          <w:szCs w:val="26"/>
          <w:lang w:val="vi-VN"/>
        </w:rPr>
        <w:t>Sản phẩm nghiên cứu/sách/tài liệu bồi dưỡng/giáo án/kế hoạch giảng dạy được duyệt;</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 </w:t>
      </w:r>
      <w:r w:rsidRPr="00012303">
        <w:rPr>
          <w:color w:val="000000"/>
          <w:sz w:val="26"/>
          <w:szCs w:val="26"/>
          <w:lang w:val="vi-VN"/>
        </w:rPr>
        <w:t>Sổ ghi chép sinh hoạt chuyên môn/biên bản có xác nhận của cấp có thẩm quyền thể hiện kết quả thực hiện nhiệm vụ của giáo viên;</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 </w:t>
      </w:r>
      <w:r w:rsidRPr="00012303">
        <w:rPr>
          <w:color w:val="000000"/>
          <w:sz w:val="26"/>
          <w:szCs w:val="26"/>
          <w:lang w:val="vi-VN"/>
        </w:rPr>
        <w:t>Thông báo kết luận thanh tra, kiểm tra/nhật ký thanh tra, kiểm tra có xác nhận của cấp có thẩm quyền theo quy định;</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 </w:t>
      </w:r>
      <w:r w:rsidRPr="00012303">
        <w:rPr>
          <w:color w:val="000000"/>
          <w:sz w:val="26"/>
          <w:szCs w:val="26"/>
          <w:lang w:val="vi-VN"/>
        </w:rPr>
        <w:t>Quyết định khen thưởng/văn bản ghi nhận về những đóng góp của giáo viên;</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 </w:t>
      </w:r>
      <w:r w:rsidRPr="00012303">
        <w:rPr>
          <w:color w:val="000000"/>
          <w:sz w:val="26"/>
          <w:szCs w:val="26"/>
          <w:lang w:val="vi-VN"/>
        </w:rPr>
        <w:t>Ngoài ra, giáo viên có thể cung cấp các minh chứng phù hợp khác thể hiện việc giáo viên đã thực hiện nhiệm vụ của hạng đăng ký dự xét và đạt kết quả.</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b/>
          <w:bCs/>
          <w:color w:val="000000"/>
          <w:sz w:val="26"/>
          <w:szCs w:val="26"/>
        </w:rPr>
        <w:t>C</w:t>
      </w:r>
      <w:r w:rsidRPr="00012303">
        <w:rPr>
          <w:b/>
          <w:bCs/>
          <w:color w:val="000000"/>
          <w:sz w:val="26"/>
          <w:szCs w:val="26"/>
          <w:lang w:val="vi-VN"/>
        </w:rPr>
        <w:t>. Ghi chú</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I. </w:t>
      </w:r>
      <w:r w:rsidRPr="00012303">
        <w:rPr>
          <w:color w:val="000000"/>
          <w:sz w:val="26"/>
          <w:szCs w:val="26"/>
          <w:lang w:val="vi-VN"/>
        </w:rPr>
        <w:t>Trường hợp các nhiệm vụ của giáo viên theo hạng được sửa đổi, bổ sung, thay thế hoặc quy đổi theo quy định của pháp luật thì thực hiện theo các nhiệm vụ sửa đổi, bổ sung, thay thế hoặc quy đổi đó.</w:t>
      </w:r>
    </w:p>
    <w:p w:rsidR="00012303" w:rsidRPr="00012303" w:rsidRDefault="00012303" w:rsidP="00012303">
      <w:pPr>
        <w:pStyle w:val="NormalWeb"/>
        <w:spacing w:before="120" w:beforeAutospacing="0" w:after="120" w:afterAutospacing="0" w:line="234" w:lineRule="atLeast"/>
        <w:rPr>
          <w:color w:val="000000"/>
          <w:sz w:val="26"/>
          <w:szCs w:val="26"/>
        </w:rPr>
      </w:pPr>
      <w:r w:rsidRPr="00012303">
        <w:rPr>
          <w:color w:val="000000"/>
          <w:sz w:val="26"/>
          <w:szCs w:val="26"/>
        </w:rPr>
        <w:t>II. </w:t>
      </w:r>
      <w:r w:rsidRPr="00012303">
        <w:rPr>
          <w:color w:val="000000"/>
          <w:sz w:val="26"/>
          <w:szCs w:val="26"/>
          <w:lang w:val="vi-VN"/>
        </w:rPr>
        <w:t>Hội đồng xét thăng hạng căn cứ vào các nội dung quy định tại Phụ lục này để hướng dẫn minh chứng và chấm điểm hồ sơ xét thăng hạng chức danh nghề nghiệp giáo viên dự bị đại học./.</w:t>
      </w:r>
    </w:p>
    <w:p w:rsidR="00D82DB1" w:rsidRPr="00012303" w:rsidRDefault="00D82DB1" w:rsidP="00012303">
      <w:pPr>
        <w:rPr>
          <w:rFonts w:ascii="Times New Roman" w:hAnsi="Times New Roman" w:cs="Times New Roman"/>
          <w:sz w:val="26"/>
          <w:szCs w:val="26"/>
        </w:rPr>
      </w:pPr>
    </w:p>
    <w:sectPr w:rsidR="00D82DB1" w:rsidRPr="000123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E0"/>
    <w:rsid w:val="00012303"/>
    <w:rsid w:val="000B26D1"/>
    <w:rsid w:val="000C7BA2"/>
    <w:rsid w:val="005060E0"/>
    <w:rsid w:val="00D8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CB897-5DBC-4263-B484-8B559636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0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231">
      <w:bodyDiv w:val="1"/>
      <w:marLeft w:val="0"/>
      <w:marRight w:val="0"/>
      <w:marTop w:val="0"/>
      <w:marBottom w:val="0"/>
      <w:divBdr>
        <w:top w:val="none" w:sz="0" w:space="0" w:color="auto"/>
        <w:left w:val="none" w:sz="0" w:space="0" w:color="auto"/>
        <w:bottom w:val="none" w:sz="0" w:space="0" w:color="auto"/>
        <w:right w:val="none" w:sz="0" w:space="0" w:color="auto"/>
      </w:divBdr>
    </w:div>
    <w:div w:id="193169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2023-01-12T09:37:00Z</dcterms:created>
  <dcterms:modified xsi:type="dcterms:W3CDTF">2023-01-12T10:33:00Z</dcterms:modified>
</cp:coreProperties>
</file>