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F86" w:rsidRPr="00DF6F86" w:rsidRDefault="00DF6F86" w:rsidP="00DF6F86">
      <w:pPr>
        <w:shd w:val="clear" w:color="auto" w:fill="FFFFFF"/>
        <w:spacing w:before="120" w:after="120" w:line="234" w:lineRule="atLeast"/>
        <w:rPr>
          <w:rFonts w:ascii="Times New Roman" w:eastAsia="Times New Roman" w:hAnsi="Times New Roman" w:cs="Times New Roman"/>
          <w:color w:val="000000"/>
          <w:sz w:val="26"/>
          <w:szCs w:val="26"/>
        </w:rPr>
      </w:pPr>
      <w:bookmarkStart w:id="0" w:name="chuong_pl_4"/>
      <w:r w:rsidRPr="00DF6F86">
        <w:rPr>
          <w:rFonts w:ascii="Times New Roman" w:eastAsia="Times New Roman" w:hAnsi="Times New Roman" w:cs="Times New Roman"/>
          <w:b/>
          <w:bCs/>
          <w:color w:val="000000"/>
          <w:sz w:val="26"/>
          <w:szCs w:val="26"/>
          <w:lang w:val="vi-VN"/>
        </w:rPr>
        <w:t>Phụ lục IV. Định mức sử dụng vật liệu xây dựng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0"/>
        <w:gridCol w:w="5814"/>
        <w:gridCol w:w="2096"/>
      </w:tblGrid>
      <w:tr w:rsidR="00DF6F86" w:rsidRPr="00DF6F86" w:rsidTr="00DF6F86">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F6F86" w:rsidRPr="00DF6F86" w:rsidRDefault="00DF6F86" w:rsidP="00DF6F86">
            <w:pPr>
              <w:spacing w:before="120" w:after="120" w:line="234" w:lineRule="atLeast"/>
              <w:jc w:val="center"/>
              <w:rPr>
                <w:rFonts w:ascii="Times New Roman" w:eastAsia="Times New Roman" w:hAnsi="Times New Roman" w:cs="Times New Roman"/>
                <w:color w:val="000000"/>
                <w:sz w:val="26"/>
                <w:szCs w:val="26"/>
              </w:rPr>
            </w:pPr>
            <w:r w:rsidRPr="00DF6F86">
              <w:rPr>
                <w:rFonts w:ascii="Times New Roman" w:eastAsia="Times New Roman" w:hAnsi="Times New Roman" w:cs="Times New Roman"/>
                <w:b/>
                <w:bCs/>
                <w:color w:val="000000"/>
                <w:sz w:val="26"/>
                <w:szCs w:val="26"/>
                <w:lang w:val="vi-VN"/>
              </w:rPr>
              <w:t>Mục</w:t>
            </w:r>
          </w:p>
        </w:tc>
        <w:tc>
          <w:tcPr>
            <w:tcW w:w="3050" w:type="pct"/>
            <w:tcBorders>
              <w:top w:val="single" w:sz="8" w:space="0" w:color="auto"/>
              <w:left w:val="nil"/>
              <w:bottom w:val="single" w:sz="8" w:space="0" w:color="auto"/>
              <w:right w:val="single" w:sz="8" w:space="0" w:color="auto"/>
            </w:tcBorders>
            <w:shd w:val="clear" w:color="auto" w:fill="FFFFFF"/>
            <w:vAlign w:val="center"/>
            <w:hideMark/>
          </w:tcPr>
          <w:p w:rsidR="00DF6F86" w:rsidRPr="00DF6F86" w:rsidRDefault="00DF6F86" w:rsidP="00DF6F86">
            <w:pPr>
              <w:spacing w:before="120" w:after="120" w:line="234" w:lineRule="atLeast"/>
              <w:jc w:val="center"/>
              <w:rPr>
                <w:rFonts w:ascii="Times New Roman" w:eastAsia="Times New Roman" w:hAnsi="Times New Roman" w:cs="Times New Roman"/>
                <w:color w:val="000000"/>
                <w:sz w:val="26"/>
                <w:szCs w:val="26"/>
              </w:rPr>
            </w:pPr>
            <w:r w:rsidRPr="00DF6F86">
              <w:rPr>
                <w:rFonts w:ascii="Times New Roman" w:eastAsia="Times New Roman" w:hAnsi="Times New Roman" w:cs="Times New Roman"/>
                <w:b/>
                <w:bCs/>
                <w:color w:val="000000"/>
                <w:sz w:val="26"/>
                <w:szCs w:val="26"/>
                <w:lang w:val="vi-VN"/>
              </w:rPr>
              <w:t>Công tác xây dựng</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DF6F86" w:rsidRPr="00DF6F86" w:rsidRDefault="00DF6F86" w:rsidP="00DF6F86">
            <w:pPr>
              <w:spacing w:before="120" w:after="120" w:line="234" w:lineRule="atLeast"/>
              <w:jc w:val="center"/>
              <w:rPr>
                <w:rFonts w:ascii="Times New Roman" w:eastAsia="Times New Roman" w:hAnsi="Times New Roman" w:cs="Times New Roman"/>
                <w:color w:val="000000"/>
                <w:sz w:val="26"/>
                <w:szCs w:val="26"/>
              </w:rPr>
            </w:pPr>
            <w:r w:rsidRPr="00DF6F86">
              <w:rPr>
                <w:rFonts w:ascii="Times New Roman" w:eastAsia="Times New Roman" w:hAnsi="Times New Roman" w:cs="Times New Roman"/>
                <w:b/>
                <w:bCs/>
                <w:color w:val="000000"/>
                <w:sz w:val="26"/>
                <w:szCs w:val="26"/>
                <w:lang w:val="vi-VN"/>
              </w:rPr>
              <w:t>Nội dung sửa </w:t>
            </w:r>
            <w:proofErr w:type="spellStart"/>
            <w:r w:rsidRPr="00DF6F86">
              <w:rPr>
                <w:rFonts w:ascii="Times New Roman" w:eastAsia="Times New Roman" w:hAnsi="Times New Roman" w:cs="Times New Roman"/>
                <w:b/>
                <w:bCs/>
                <w:color w:val="000000"/>
                <w:sz w:val="26"/>
                <w:szCs w:val="26"/>
              </w:rPr>
              <w:t>đổi</w:t>
            </w:r>
            <w:proofErr w:type="spellEnd"/>
          </w:p>
        </w:tc>
      </w:tr>
      <w:tr w:rsidR="00DF6F86" w:rsidRPr="00DF6F86" w:rsidTr="00DF6F86">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DF6F86" w:rsidRPr="00DF6F86" w:rsidRDefault="00DF6F86" w:rsidP="00DF6F86">
            <w:pPr>
              <w:spacing w:before="120" w:after="120" w:line="234" w:lineRule="atLeast"/>
              <w:jc w:val="center"/>
              <w:rPr>
                <w:rFonts w:ascii="Times New Roman" w:eastAsia="Times New Roman" w:hAnsi="Times New Roman" w:cs="Times New Roman"/>
                <w:color w:val="000000"/>
                <w:sz w:val="26"/>
                <w:szCs w:val="26"/>
              </w:rPr>
            </w:pPr>
            <w:r w:rsidRPr="00DF6F86">
              <w:rPr>
                <w:rFonts w:ascii="Times New Roman" w:eastAsia="Times New Roman" w:hAnsi="Times New Roman" w:cs="Times New Roman"/>
                <w:color w:val="000000"/>
                <w:sz w:val="26"/>
                <w:szCs w:val="26"/>
                <w:lang w:val="vi-VN"/>
              </w:rPr>
              <w:t>Mục II- Chương I- Phần 2</w:t>
            </w:r>
          </w:p>
        </w:tc>
        <w:tc>
          <w:tcPr>
            <w:tcW w:w="3050" w:type="pct"/>
            <w:tcBorders>
              <w:top w:val="nil"/>
              <w:left w:val="nil"/>
              <w:bottom w:val="single" w:sz="8" w:space="0" w:color="auto"/>
              <w:right w:val="single" w:sz="8" w:space="0" w:color="auto"/>
            </w:tcBorders>
            <w:shd w:val="clear" w:color="auto" w:fill="FFFFFF"/>
            <w:vAlign w:val="center"/>
            <w:hideMark/>
          </w:tcPr>
          <w:p w:rsidR="00DF6F86" w:rsidRPr="00DF6F86" w:rsidRDefault="00DF6F86" w:rsidP="00DF6F86">
            <w:pPr>
              <w:spacing w:before="120" w:after="120" w:line="234" w:lineRule="atLeast"/>
              <w:rPr>
                <w:rFonts w:ascii="Times New Roman" w:eastAsia="Times New Roman" w:hAnsi="Times New Roman" w:cs="Times New Roman"/>
                <w:color w:val="000000"/>
                <w:sz w:val="26"/>
                <w:szCs w:val="26"/>
              </w:rPr>
            </w:pPr>
            <w:r w:rsidRPr="00DF6F86">
              <w:rPr>
                <w:rFonts w:ascii="Times New Roman" w:eastAsia="Times New Roman" w:hAnsi="Times New Roman" w:cs="Times New Roman"/>
                <w:color w:val="000000"/>
                <w:sz w:val="26"/>
                <w:szCs w:val="26"/>
                <w:lang w:val="vi-VN"/>
              </w:rPr>
              <w:t>Định mức cấp phối vật liệu vữa bê tông khác (điểm II.3)</w:t>
            </w:r>
          </w:p>
        </w:tc>
        <w:tc>
          <w:tcPr>
            <w:tcW w:w="1100" w:type="pct"/>
            <w:tcBorders>
              <w:top w:val="nil"/>
              <w:left w:val="nil"/>
              <w:bottom w:val="single" w:sz="8" w:space="0" w:color="auto"/>
              <w:right w:val="single" w:sz="8" w:space="0" w:color="auto"/>
            </w:tcBorders>
            <w:shd w:val="clear" w:color="auto" w:fill="FFFFFF"/>
            <w:vAlign w:val="center"/>
            <w:hideMark/>
          </w:tcPr>
          <w:p w:rsidR="00DF6F86" w:rsidRPr="00DF6F86" w:rsidRDefault="00DF6F86" w:rsidP="00DF6F86">
            <w:pPr>
              <w:spacing w:before="120" w:after="120" w:line="234" w:lineRule="atLeast"/>
              <w:jc w:val="center"/>
              <w:rPr>
                <w:rFonts w:ascii="Times New Roman" w:eastAsia="Times New Roman" w:hAnsi="Times New Roman" w:cs="Times New Roman"/>
                <w:color w:val="000000"/>
                <w:sz w:val="26"/>
                <w:szCs w:val="26"/>
              </w:rPr>
            </w:pPr>
            <w:r w:rsidRPr="00DF6F86">
              <w:rPr>
                <w:rFonts w:ascii="Times New Roman" w:eastAsia="Times New Roman" w:hAnsi="Times New Roman" w:cs="Times New Roman"/>
                <w:color w:val="000000"/>
                <w:sz w:val="26"/>
                <w:szCs w:val="26"/>
                <w:lang w:val="vi-VN"/>
              </w:rPr>
              <w:t>Sửa đổi nội dung hướng dẫn cấp phối vữa bê tông chịu uốn</w:t>
            </w:r>
          </w:p>
        </w:tc>
      </w:tr>
    </w:tbl>
    <w:p w:rsidR="00DF6F86" w:rsidRP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bookmarkStart w:id="1" w:name="_GoBack"/>
      <w:bookmarkEnd w:id="1"/>
    </w:p>
    <w:p w:rsid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Pr="00DF6F86" w:rsidRDefault="00DF6F86" w:rsidP="00DF6F86">
      <w:pPr>
        <w:pStyle w:val="NormalWeb"/>
        <w:shd w:val="clear" w:color="auto" w:fill="FFFFFF"/>
        <w:spacing w:before="0" w:beforeAutospacing="0" w:after="0" w:afterAutospacing="0" w:line="234" w:lineRule="atLeast"/>
        <w:jc w:val="center"/>
        <w:rPr>
          <w:b/>
          <w:bCs/>
          <w:color w:val="000000"/>
          <w:sz w:val="26"/>
          <w:szCs w:val="26"/>
          <w:lang w:val="vi-VN"/>
        </w:rPr>
      </w:pPr>
    </w:p>
    <w:p w:rsidR="00DF6F86" w:rsidRPr="00DF6F86" w:rsidRDefault="00DF6F86" w:rsidP="00DF6F86">
      <w:pPr>
        <w:pStyle w:val="NormalWeb"/>
        <w:shd w:val="clear" w:color="auto" w:fill="FFFFFF"/>
        <w:spacing w:before="0" w:beforeAutospacing="0" w:after="0" w:afterAutospacing="0" w:line="234" w:lineRule="atLeast"/>
        <w:jc w:val="center"/>
        <w:rPr>
          <w:color w:val="000000"/>
          <w:sz w:val="26"/>
          <w:szCs w:val="26"/>
        </w:rPr>
      </w:pPr>
      <w:r w:rsidRPr="00DF6F86">
        <w:rPr>
          <w:b/>
          <w:bCs/>
          <w:color w:val="000000"/>
          <w:sz w:val="26"/>
          <w:szCs w:val="26"/>
          <w:lang w:val="vi-VN"/>
        </w:rPr>
        <w:lastRenderedPageBreak/>
        <w:t>PHỤ LỤC IV</w:t>
      </w:r>
      <w:bookmarkEnd w:id="0"/>
    </w:p>
    <w:p w:rsidR="00DF6F86" w:rsidRPr="00DF6F86" w:rsidRDefault="00DF6F86" w:rsidP="00DF6F86">
      <w:pPr>
        <w:pStyle w:val="NormalWeb"/>
        <w:shd w:val="clear" w:color="auto" w:fill="FFFFFF"/>
        <w:spacing w:before="0" w:beforeAutospacing="0" w:after="0" w:afterAutospacing="0" w:line="234" w:lineRule="atLeast"/>
        <w:jc w:val="center"/>
        <w:rPr>
          <w:color w:val="000000"/>
          <w:sz w:val="26"/>
          <w:szCs w:val="26"/>
        </w:rPr>
      </w:pPr>
      <w:bookmarkStart w:id="2" w:name="chuong_pl_4_name"/>
      <w:r w:rsidRPr="00DF6F86">
        <w:rPr>
          <w:color w:val="000000"/>
          <w:sz w:val="26"/>
          <w:szCs w:val="26"/>
          <w:lang w:val="vi-VN"/>
        </w:rPr>
        <w:t>BỔ SUNG ĐỊNH MỨC SỬ DỤNG VẬT LIỆU XÂY DỰNG BAN HÀNH TẠI PHỤ LỤC VII THÔNG TƯ SỐ </w:t>
      </w:r>
      <w:bookmarkEnd w:id="2"/>
      <w:r w:rsidRPr="00DF6F86">
        <w:rPr>
          <w:color w:val="000000"/>
          <w:sz w:val="26"/>
          <w:szCs w:val="26"/>
        </w:rPr>
        <w:fldChar w:fldCharType="begin"/>
      </w:r>
      <w:r w:rsidRPr="00DF6F86">
        <w:rPr>
          <w:color w:val="000000"/>
          <w:sz w:val="26"/>
          <w:szCs w:val="26"/>
        </w:rPr>
        <w:instrText xml:space="preserve"> HYPERLINK "https://thuvienphapluat.vn/van-ban/xay-dung-do-thi/thong-tu-12-2021-tt-bxd-dinh-muc-xay-dung-487047.aspx" \o "Thông tư 12/2021/TT-BXD" \t "_blank" </w:instrText>
      </w:r>
      <w:r w:rsidRPr="00DF6F86">
        <w:rPr>
          <w:color w:val="000000"/>
          <w:sz w:val="26"/>
          <w:szCs w:val="26"/>
        </w:rPr>
        <w:fldChar w:fldCharType="separate"/>
      </w:r>
      <w:r w:rsidRPr="00DF6F86">
        <w:rPr>
          <w:rStyle w:val="Hyperlink"/>
          <w:color w:val="0E70C3"/>
          <w:sz w:val="26"/>
          <w:szCs w:val="26"/>
          <w:u w:val="none"/>
        </w:rPr>
        <w:t>12/2021/TT-BXD</w:t>
      </w:r>
      <w:r w:rsidRPr="00DF6F86">
        <w:rPr>
          <w:color w:val="000000"/>
          <w:sz w:val="26"/>
          <w:szCs w:val="26"/>
        </w:rPr>
        <w:fldChar w:fldCharType="end"/>
      </w:r>
      <w:r w:rsidRPr="00DF6F86">
        <w:rPr>
          <w:color w:val="000000"/>
          <w:sz w:val="26"/>
          <w:szCs w:val="26"/>
        </w:rPr>
        <w:t> NGÀY 31/8/2021 CỦA BỘ TRƯỞNG BỘ XÂY DỰNG</w:t>
      </w:r>
      <w:r w:rsidRPr="00DF6F86">
        <w:rPr>
          <w:b/>
          <w:bCs/>
          <w:color w:val="000000"/>
          <w:sz w:val="26"/>
          <w:szCs w:val="26"/>
        </w:rPr>
        <w:br/>
      </w:r>
      <w:r w:rsidRPr="00DF6F86">
        <w:rPr>
          <w:i/>
          <w:iCs/>
          <w:color w:val="000000"/>
          <w:sz w:val="26"/>
          <w:szCs w:val="26"/>
          <w:lang w:val="vi-VN"/>
        </w:rPr>
        <w:t>(Kèm theo Thông tư số 09/</w:t>
      </w:r>
      <w:r w:rsidRPr="00DF6F86">
        <w:rPr>
          <w:i/>
          <w:iCs/>
          <w:color w:val="000000"/>
          <w:sz w:val="26"/>
          <w:szCs w:val="26"/>
        </w:rPr>
        <w:t>2024/</w:t>
      </w:r>
      <w:r w:rsidRPr="00DF6F86">
        <w:rPr>
          <w:i/>
          <w:iCs/>
          <w:color w:val="000000"/>
          <w:sz w:val="26"/>
          <w:szCs w:val="26"/>
          <w:lang w:val="vi-VN"/>
        </w:rPr>
        <w:t>TT-BXD ngày 30/8/2024 của Bộ trưởng Bộ Xây dựng)</w:t>
      </w:r>
    </w:p>
    <w:p w:rsidR="00DF6F86" w:rsidRPr="00DF6F86" w:rsidRDefault="00DF6F86" w:rsidP="00DF6F86">
      <w:pPr>
        <w:pStyle w:val="NormalWeb"/>
        <w:shd w:val="clear" w:color="auto" w:fill="FFFFFF"/>
        <w:spacing w:before="120" w:beforeAutospacing="0" w:after="120" w:afterAutospacing="0" w:line="234" w:lineRule="atLeast"/>
        <w:rPr>
          <w:color w:val="000000"/>
          <w:sz w:val="26"/>
          <w:szCs w:val="26"/>
        </w:rPr>
      </w:pPr>
      <w:r w:rsidRPr="00DF6F86">
        <w:rPr>
          <w:color w:val="000000"/>
          <w:sz w:val="26"/>
          <w:szCs w:val="26"/>
          <w:u w:val="single"/>
          <w:lang w:val="vi-VN"/>
        </w:rPr>
        <w:t>Sửa </w:t>
      </w:r>
      <w:proofErr w:type="spellStart"/>
      <w:r w:rsidRPr="00DF6F86">
        <w:rPr>
          <w:color w:val="000000"/>
          <w:sz w:val="26"/>
          <w:szCs w:val="26"/>
          <w:u w:val="single"/>
        </w:rPr>
        <w:t>đổi</w:t>
      </w:r>
      <w:proofErr w:type="spellEnd"/>
      <w:r w:rsidRPr="00DF6F86">
        <w:rPr>
          <w:color w:val="000000"/>
          <w:sz w:val="26"/>
          <w:szCs w:val="26"/>
          <w:u w:val="single"/>
        </w:rPr>
        <w:t xml:space="preserve"> </w:t>
      </w:r>
      <w:proofErr w:type="spellStart"/>
      <w:r w:rsidRPr="00DF6F86">
        <w:rPr>
          <w:color w:val="000000"/>
          <w:sz w:val="26"/>
          <w:szCs w:val="26"/>
          <w:u w:val="single"/>
        </w:rPr>
        <w:t>quy</w:t>
      </w:r>
      <w:proofErr w:type="spellEnd"/>
      <w:r w:rsidRPr="00DF6F86">
        <w:rPr>
          <w:color w:val="000000"/>
          <w:sz w:val="26"/>
          <w:szCs w:val="26"/>
          <w:u w:val="single"/>
        </w:rPr>
        <w:t xml:space="preserve"> </w:t>
      </w:r>
      <w:proofErr w:type="spellStart"/>
      <w:r w:rsidRPr="00DF6F86">
        <w:rPr>
          <w:color w:val="000000"/>
          <w:sz w:val="26"/>
          <w:szCs w:val="26"/>
          <w:u w:val="single"/>
        </w:rPr>
        <w:t>định</w:t>
      </w:r>
      <w:proofErr w:type="spellEnd"/>
      <w:r w:rsidRPr="00DF6F86">
        <w:rPr>
          <w:color w:val="000000"/>
          <w:sz w:val="26"/>
          <w:szCs w:val="26"/>
          <w:u w:val="single"/>
        </w:rPr>
        <w:t xml:space="preserve"> </w:t>
      </w:r>
      <w:proofErr w:type="spellStart"/>
      <w:r w:rsidRPr="00DF6F86">
        <w:rPr>
          <w:color w:val="000000"/>
          <w:sz w:val="26"/>
          <w:szCs w:val="26"/>
          <w:u w:val="single"/>
        </w:rPr>
        <w:t>áp</w:t>
      </w:r>
      <w:proofErr w:type="spellEnd"/>
      <w:r w:rsidRPr="00DF6F86">
        <w:rPr>
          <w:color w:val="000000"/>
          <w:sz w:val="26"/>
          <w:szCs w:val="26"/>
          <w:u w:val="single"/>
        </w:rPr>
        <w:t xml:space="preserve"> </w:t>
      </w:r>
      <w:proofErr w:type="spellStart"/>
      <w:r w:rsidRPr="00DF6F86">
        <w:rPr>
          <w:color w:val="000000"/>
          <w:sz w:val="26"/>
          <w:szCs w:val="26"/>
          <w:u w:val="single"/>
        </w:rPr>
        <w:t>dụng</w:t>
      </w:r>
      <w:proofErr w:type="spellEnd"/>
      <w:r w:rsidRPr="00DF6F86">
        <w:rPr>
          <w:color w:val="000000"/>
          <w:sz w:val="26"/>
          <w:szCs w:val="26"/>
          <w:u w:val="single"/>
        </w:rPr>
        <w:t xml:space="preserve"> </w:t>
      </w:r>
      <w:proofErr w:type="spellStart"/>
      <w:r w:rsidRPr="00DF6F86">
        <w:rPr>
          <w:color w:val="000000"/>
          <w:sz w:val="26"/>
          <w:szCs w:val="26"/>
          <w:u w:val="single"/>
        </w:rPr>
        <w:t>định</w:t>
      </w:r>
      <w:proofErr w:type="spellEnd"/>
      <w:r w:rsidRPr="00DF6F86">
        <w:rPr>
          <w:color w:val="000000"/>
          <w:sz w:val="26"/>
          <w:szCs w:val="26"/>
          <w:u w:val="single"/>
        </w:rPr>
        <w:t xml:space="preserve"> </w:t>
      </w:r>
      <w:proofErr w:type="spellStart"/>
      <w:r w:rsidRPr="00DF6F86">
        <w:rPr>
          <w:color w:val="000000"/>
          <w:sz w:val="26"/>
          <w:szCs w:val="26"/>
          <w:u w:val="single"/>
        </w:rPr>
        <w:t>mức</w:t>
      </w:r>
      <w:proofErr w:type="spellEnd"/>
      <w:r w:rsidRPr="00DF6F86">
        <w:rPr>
          <w:color w:val="000000"/>
          <w:sz w:val="26"/>
          <w:szCs w:val="26"/>
          <w:u w:val="single"/>
        </w:rPr>
        <w:t xml:space="preserve"> </w:t>
      </w:r>
      <w:proofErr w:type="spellStart"/>
      <w:r w:rsidRPr="00DF6F86">
        <w:rPr>
          <w:color w:val="000000"/>
          <w:sz w:val="26"/>
          <w:szCs w:val="26"/>
          <w:u w:val="single"/>
        </w:rPr>
        <w:t>cấp</w:t>
      </w:r>
      <w:proofErr w:type="spellEnd"/>
      <w:r w:rsidRPr="00DF6F86">
        <w:rPr>
          <w:color w:val="000000"/>
          <w:sz w:val="26"/>
          <w:szCs w:val="26"/>
          <w:u w:val="single"/>
        </w:rPr>
        <w:t xml:space="preserve"> </w:t>
      </w:r>
      <w:proofErr w:type="spellStart"/>
      <w:r w:rsidRPr="00DF6F86">
        <w:rPr>
          <w:color w:val="000000"/>
          <w:sz w:val="26"/>
          <w:szCs w:val="26"/>
          <w:u w:val="single"/>
        </w:rPr>
        <w:t>phối</w:t>
      </w:r>
      <w:proofErr w:type="spellEnd"/>
      <w:r w:rsidRPr="00DF6F86">
        <w:rPr>
          <w:color w:val="000000"/>
          <w:sz w:val="26"/>
          <w:szCs w:val="26"/>
          <w:u w:val="single"/>
        </w:rPr>
        <w:t xml:space="preserve"> </w:t>
      </w:r>
      <w:proofErr w:type="spellStart"/>
      <w:r w:rsidRPr="00DF6F86">
        <w:rPr>
          <w:color w:val="000000"/>
          <w:sz w:val="26"/>
          <w:szCs w:val="26"/>
          <w:u w:val="single"/>
        </w:rPr>
        <w:t>vữa</w:t>
      </w:r>
      <w:proofErr w:type="spellEnd"/>
      <w:r w:rsidRPr="00DF6F86">
        <w:rPr>
          <w:color w:val="000000"/>
          <w:sz w:val="26"/>
          <w:szCs w:val="26"/>
          <w:u w:val="single"/>
        </w:rPr>
        <w:t xml:space="preserve"> </w:t>
      </w:r>
      <w:proofErr w:type="spellStart"/>
      <w:r w:rsidRPr="00DF6F86">
        <w:rPr>
          <w:color w:val="000000"/>
          <w:sz w:val="26"/>
          <w:szCs w:val="26"/>
          <w:u w:val="single"/>
        </w:rPr>
        <w:t>bê</w:t>
      </w:r>
      <w:proofErr w:type="spellEnd"/>
      <w:r w:rsidRPr="00DF6F86">
        <w:rPr>
          <w:color w:val="000000"/>
          <w:sz w:val="26"/>
          <w:szCs w:val="26"/>
          <w:u w:val="single"/>
        </w:rPr>
        <w:t xml:space="preserve"> </w:t>
      </w:r>
      <w:proofErr w:type="spellStart"/>
      <w:r w:rsidRPr="00DF6F86">
        <w:rPr>
          <w:color w:val="000000"/>
          <w:sz w:val="26"/>
          <w:szCs w:val="26"/>
          <w:u w:val="single"/>
        </w:rPr>
        <w:t>tông</w:t>
      </w:r>
      <w:proofErr w:type="spellEnd"/>
      <w:r w:rsidRPr="00DF6F86">
        <w:rPr>
          <w:color w:val="000000"/>
          <w:sz w:val="26"/>
          <w:szCs w:val="26"/>
          <w:u w:val="single"/>
        </w:rPr>
        <w:t xml:space="preserve"> </w:t>
      </w:r>
      <w:proofErr w:type="spellStart"/>
      <w:r w:rsidRPr="00DF6F86">
        <w:rPr>
          <w:color w:val="000000"/>
          <w:sz w:val="26"/>
          <w:szCs w:val="26"/>
          <w:u w:val="single"/>
        </w:rPr>
        <w:t>chịu</w:t>
      </w:r>
      <w:proofErr w:type="spellEnd"/>
      <w:r w:rsidRPr="00DF6F86">
        <w:rPr>
          <w:color w:val="000000"/>
          <w:sz w:val="26"/>
          <w:szCs w:val="26"/>
          <w:u w:val="single"/>
        </w:rPr>
        <w:t xml:space="preserve"> </w:t>
      </w:r>
      <w:proofErr w:type="spellStart"/>
      <w:r w:rsidRPr="00DF6F86">
        <w:rPr>
          <w:color w:val="000000"/>
          <w:sz w:val="26"/>
          <w:szCs w:val="26"/>
          <w:u w:val="single"/>
        </w:rPr>
        <w:t>uốn</w:t>
      </w:r>
      <w:proofErr w:type="spellEnd"/>
      <w:r w:rsidRPr="00DF6F86">
        <w:rPr>
          <w:color w:val="000000"/>
          <w:sz w:val="26"/>
          <w:szCs w:val="26"/>
          <w:u w:val="single"/>
        </w:rPr>
        <w:t xml:space="preserve"> </w:t>
      </w:r>
      <w:proofErr w:type="spellStart"/>
      <w:r w:rsidRPr="00DF6F86">
        <w:rPr>
          <w:color w:val="000000"/>
          <w:sz w:val="26"/>
          <w:szCs w:val="26"/>
          <w:u w:val="single"/>
        </w:rPr>
        <w:t>tại</w:t>
      </w:r>
      <w:proofErr w:type="spellEnd"/>
      <w:r w:rsidRPr="00DF6F86">
        <w:rPr>
          <w:color w:val="000000"/>
          <w:sz w:val="26"/>
          <w:szCs w:val="26"/>
          <w:u w:val="single"/>
        </w:rPr>
        <w:t> </w:t>
      </w:r>
      <w:r w:rsidRPr="00DF6F86">
        <w:rPr>
          <w:color w:val="000000"/>
          <w:sz w:val="26"/>
          <w:szCs w:val="26"/>
          <w:u w:val="single"/>
          <w:lang w:val="vi-VN"/>
        </w:rPr>
        <w:t>mục II.3</w:t>
      </w:r>
      <w:r w:rsidRPr="00DF6F86">
        <w:rPr>
          <w:color w:val="000000"/>
          <w:sz w:val="26"/>
          <w:szCs w:val="26"/>
          <w:u w:val="single"/>
        </w:rPr>
        <w:t>, </w:t>
      </w:r>
      <w:r w:rsidRPr="00DF6F86">
        <w:rPr>
          <w:color w:val="000000"/>
          <w:sz w:val="26"/>
          <w:szCs w:val="26"/>
          <w:u w:val="single"/>
          <w:lang w:val="vi-VN"/>
        </w:rPr>
        <w:t>chương I</w:t>
      </w:r>
      <w:r w:rsidRPr="00DF6F86">
        <w:rPr>
          <w:color w:val="000000"/>
          <w:sz w:val="26"/>
          <w:szCs w:val="26"/>
          <w:u w:val="single"/>
        </w:rPr>
        <w:t>, </w:t>
      </w:r>
      <w:r w:rsidRPr="00DF6F86">
        <w:rPr>
          <w:color w:val="000000"/>
          <w:sz w:val="26"/>
          <w:szCs w:val="26"/>
          <w:u w:val="single"/>
          <w:lang w:val="vi-VN"/>
        </w:rPr>
        <w:t>phần 2 như sa</w:t>
      </w:r>
      <w:r w:rsidRPr="00DF6F86">
        <w:rPr>
          <w:color w:val="000000"/>
          <w:sz w:val="26"/>
          <w:szCs w:val="26"/>
          <w:u w:val="single"/>
        </w:rPr>
        <w:t>u</w:t>
      </w:r>
      <w:r w:rsidRPr="00DF6F86">
        <w:rPr>
          <w:color w:val="000000"/>
          <w:sz w:val="26"/>
          <w:szCs w:val="26"/>
          <w:u w:val="single"/>
          <w:lang w:val="vi-VN"/>
        </w:rPr>
        <w:t>:</w:t>
      </w:r>
    </w:p>
    <w:p w:rsidR="00DF6F86" w:rsidRPr="00DF6F86" w:rsidRDefault="00DF6F86" w:rsidP="00DF6F86">
      <w:pPr>
        <w:pStyle w:val="NormalWeb"/>
        <w:shd w:val="clear" w:color="auto" w:fill="FFFFFF"/>
        <w:spacing w:before="120" w:beforeAutospacing="0" w:after="120" w:afterAutospacing="0" w:line="234" w:lineRule="atLeast"/>
        <w:rPr>
          <w:color w:val="000000"/>
          <w:sz w:val="26"/>
          <w:szCs w:val="26"/>
        </w:rPr>
      </w:pPr>
      <w:r w:rsidRPr="00DF6F86">
        <w:rPr>
          <w:color w:val="000000"/>
          <w:sz w:val="26"/>
          <w:szCs w:val="26"/>
          <w:lang w:val="vi-VN"/>
        </w:rPr>
        <w:t>"II.3. BÊ TÔNG CHỊU UỐN</w:t>
      </w:r>
    </w:p>
    <w:p w:rsidR="00DF6F86" w:rsidRPr="00DF6F86" w:rsidRDefault="00DF6F86" w:rsidP="00DF6F86">
      <w:pPr>
        <w:pStyle w:val="NormalWeb"/>
        <w:shd w:val="clear" w:color="auto" w:fill="FFFFFF"/>
        <w:spacing w:before="120" w:beforeAutospacing="0" w:after="120" w:afterAutospacing="0" w:line="234" w:lineRule="atLeast"/>
        <w:rPr>
          <w:color w:val="000000"/>
          <w:sz w:val="26"/>
          <w:szCs w:val="26"/>
        </w:rPr>
      </w:pPr>
      <w:r w:rsidRPr="00DF6F86">
        <w:rPr>
          <w:color w:val="000000"/>
          <w:sz w:val="26"/>
          <w:szCs w:val="26"/>
          <w:lang w:val="vi-VN"/>
        </w:rPr>
        <w:t>Định mức cấp phối cho 1 m</w:t>
      </w:r>
      <w:r w:rsidRPr="00DF6F86">
        <w:rPr>
          <w:color w:val="000000"/>
          <w:sz w:val="26"/>
          <w:szCs w:val="26"/>
          <w:vertAlign w:val="superscript"/>
          <w:lang w:val="vi-VN"/>
        </w:rPr>
        <w:t>3</w:t>
      </w:r>
      <w:r w:rsidRPr="00DF6F86">
        <w:rPr>
          <w:color w:val="000000"/>
          <w:sz w:val="26"/>
          <w:szCs w:val="26"/>
          <w:lang w:val="vi-VN"/>
        </w:rPr>
        <w:t> bê tông chịu uốn sử dụng làm (đường, sân bãi, đường cất hạ cánh, đường lăn, sân đỗ) mác 150/25; 200/30; 250/35; 300/40; 350/45 (khi sử dụng xi măng PCB 30, PC 40 và PCB 40) được tính theo các mức tương ứng quy định tại các nhóm mã 11.11000 và 11.12000 và quy định tại mục I nói trên, đồng thời điều chỉnh theo nguyên tắc và trị số sau:</w:t>
      </w:r>
    </w:p>
    <w:p w:rsidR="00DF6F86" w:rsidRPr="00DF6F86" w:rsidRDefault="00DF6F86" w:rsidP="00DF6F86">
      <w:pPr>
        <w:pStyle w:val="NormalWeb"/>
        <w:shd w:val="clear" w:color="auto" w:fill="FFFFFF"/>
        <w:spacing w:before="120" w:beforeAutospacing="0" w:after="120" w:afterAutospacing="0" w:line="234" w:lineRule="atLeast"/>
        <w:rPr>
          <w:color w:val="000000"/>
          <w:sz w:val="26"/>
          <w:szCs w:val="26"/>
        </w:rPr>
      </w:pPr>
      <w:r w:rsidRPr="00DF6F86">
        <w:rPr>
          <w:color w:val="000000"/>
          <w:sz w:val="26"/>
          <w:szCs w:val="26"/>
          <w:lang w:val="vi-VN"/>
        </w:rPr>
        <w:t>- Lượng xi măng tăng thêm 5%</w:t>
      </w:r>
    </w:p>
    <w:p w:rsidR="00DF6F86" w:rsidRPr="00DF6F86" w:rsidRDefault="00DF6F86" w:rsidP="00DF6F86">
      <w:pPr>
        <w:pStyle w:val="NormalWeb"/>
        <w:shd w:val="clear" w:color="auto" w:fill="FFFFFF"/>
        <w:spacing w:before="120" w:beforeAutospacing="0" w:after="120" w:afterAutospacing="0" w:line="234" w:lineRule="atLeast"/>
        <w:rPr>
          <w:color w:val="000000"/>
          <w:sz w:val="26"/>
          <w:szCs w:val="26"/>
        </w:rPr>
      </w:pPr>
      <w:r w:rsidRPr="00DF6F86">
        <w:rPr>
          <w:color w:val="000000"/>
          <w:sz w:val="26"/>
          <w:szCs w:val="26"/>
          <w:lang w:val="vi-VN"/>
        </w:rPr>
        <w:t>- Lượng cát tăng thêm 12%</w:t>
      </w:r>
    </w:p>
    <w:p w:rsidR="00DF6F86" w:rsidRPr="00DF6F86" w:rsidRDefault="00DF6F86" w:rsidP="00DF6F86">
      <w:pPr>
        <w:pStyle w:val="NormalWeb"/>
        <w:shd w:val="clear" w:color="auto" w:fill="FFFFFF"/>
        <w:spacing w:before="120" w:beforeAutospacing="0" w:after="120" w:afterAutospacing="0" w:line="234" w:lineRule="atLeast"/>
        <w:rPr>
          <w:color w:val="000000"/>
          <w:sz w:val="26"/>
          <w:szCs w:val="26"/>
        </w:rPr>
      </w:pPr>
      <w:r w:rsidRPr="00DF6F86">
        <w:rPr>
          <w:color w:val="000000"/>
          <w:sz w:val="26"/>
          <w:szCs w:val="26"/>
          <w:lang w:val="vi-VN"/>
        </w:rPr>
        <w:t>- Lượng đá giảm tương ứng với tổng khối lượng xi măng và cát tăng.</w:t>
      </w:r>
    </w:p>
    <w:p w:rsidR="00DF6F86" w:rsidRPr="00DF6F86" w:rsidRDefault="00DF6F86" w:rsidP="00DF6F86">
      <w:pPr>
        <w:pStyle w:val="NormalWeb"/>
        <w:shd w:val="clear" w:color="auto" w:fill="FFFFFF"/>
        <w:spacing w:before="120" w:beforeAutospacing="0" w:after="120" w:afterAutospacing="0" w:line="234" w:lineRule="atLeast"/>
        <w:rPr>
          <w:color w:val="000000"/>
          <w:sz w:val="26"/>
          <w:szCs w:val="26"/>
        </w:rPr>
      </w:pPr>
      <w:r w:rsidRPr="00DF6F86">
        <w:rPr>
          <w:color w:val="000000"/>
          <w:sz w:val="26"/>
          <w:szCs w:val="26"/>
          <w:lang w:val="vi-VN"/>
        </w:rPr>
        <w:t>- Đối với các định mức cấp phối quy định tại nhóm mã 11.11100 và 11.12100 không có thành phần phụ gia, khi có yêu cầu sử dụng phụ gia theo tiêu chuẩn kỹ thuật thi công để đạt dược các đặc tính theo thiết kế, thi công thì được bổ sung phụ gia và điều chỉnh lượng nước và xi măng đảm bảo tỷ lệ N/X theo tiêu chuẩn, yêu cầu thiết kế, thi công."</w:t>
      </w:r>
    </w:p>
    <w:p w:rsidR="006504EE" w:rsidRPr="00DF6F86" w:rsidRDefault="00DF6F86">
      <w:pPr>
        <w:rPr>
          <w:rFonts w:ascii="Times New Roman" w:hAnsi="Times New Roman" w:cs="Times New Roman"/>
          <w:sz w:val="26"/>
          <w:szCs w:val="26"/>
        </w:rPr>
      </w:pPr>
    </w:p>
    <w:sectPr w:rsidR="006504EE" w:rsidRPr="00DF6F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8F"/>
    <w:rsid w:val="001811E4"/>
    <w:rsid w:val="001E23BE"/>
    <w:rsid w:val="00CE798F"/>
    <w:rsid w:val="00DF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9F645-5638-442C-A688-AEB85B07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6F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6F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11346">
      <w:bodyDiv w:val="1"/>
      <w:marLeft w:val="0"/>
      <w:marRight w:val="0"/>
      <w:marTop w:val="0"/>
      <w:marBottom w:val="0"/>
      <w:divBdr>
        <w:top w:val="none" w:sz="0" w:space="0" w:color="auto"/>
        <w:left w:val="none" w:sz="0" w:space="0" w:color="auto"/>
        <w:bottom w:val="none" w:sz="0" w:space="0" w:color="auto"/>
        <w:right w:val="none" w:sz="0" w:space="0" w:color="auto"/>
      </w:divBdr>
    </w:div>
    <w:div w:id="6871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2024-09-10T01:14:00Z</dcterms:created>
  <dcterms:modified xsi:type="dcterms:W3CDTF">2024-09-10T01:16:00Z</dcterms:modified>
</cp:coreProperties>
</file>