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844"/>
        <w:gridCol w:w="3049"/>
        <w:gridCol w:w="560"/>
        <w:gridCol w:w="555"/>
        <w:gridCol w:w="781"/>
        <w:gridCol w:w="762"/>
        <w:gridCol w:w="1077"/>
      </w:tblGrid>
      <w:tr w:rsidR="001B0462" w:rsidRPr="001B0462" w:rsidTr="001B0462">
        <w:trPr>
          <w:trHeight w:val="173"/>
          <w:tblCellSpacing w:w="0" w:type="dxa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TT</w:t>
            </w:r>
          </w:p>
        </w:tc>
        <w:tc>
          <w:tcPr>
            <w:tcW w:w="20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Sản phẩm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Chỉ tiêu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Kế hoạch lấy mẫu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Giới hạn cho phép (CFU/ml hoặc CFU/g)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Phân loại chỉ tiêu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Các sản phẩm sữa dạng lỏng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&lt; 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L. monocytogens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Các sản phẩm sữa dạng bột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Staphylococci dương tính với coa gulase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</w:p>
        </w:tc>
      </w:tr>
      <w:tr w:rsidR="001B0462" w:rsidRPr="001B0462" w:rsidTr="001B0462">
        <w:trPr>
          <w:trHeight w:val="113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Nội độc tố của Staphylococcus (Staphylococcal enterotoxin)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KPH 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B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L. monocytogens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Salmonella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KPH 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5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Các sản phẩm phomat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20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Phomat được sản xuất từ sữa tươi nguyên liệu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Staphylococci dương tính với coagulase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Nội độc tố của Staphylococcus (Staphylococcal enterotoxin)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KPH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B</w:t>
            </w:r>
          </w:p>
        </w:tc>
      </w:tr>
      <w:tr w:rsidR="001B0462" w:rsidRPr="001B0462" w:rsidTr="001B0462">
        <w:trPr>
          <w:trHeight w:val="41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L. monocytogens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Salmonella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KPH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20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Phomat được sản xuất từ sữa đã qua xử lý nhiệt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Staphylococci dương tính với coagulase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Nội độc tố của Staphylococcus (Staphylococcal enterotoxin)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KPH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B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L. monocytogens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Salmonella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KPH 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20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Phomat whey (sản xuất từ whey đã qua xử lý nhiệt)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Staphylococci dương tính với coagulase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Nội độc tố của Staphylococcus(Staphylococcal enterotoxin)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KPH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B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L. monocytogens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20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Phomat  tươi được sản xuất từ sữa hoặc whey (sữa hoặc whey đã qua xử lý nhiệt)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Staphylococci dương tính với coagulase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Nội độc tố của Staphylococcus(Staphylococcal enterotoxin)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KPH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B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L. monocytogens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Các sản phẩm phomat khác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L. monocytogens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</w:p>
        </w:tc>
      </w:tr>
      <w:tr w:rsidR="001B0462" w:rsidRPr="001B0462" w:rsidTr="001B0462">
        <w:trPr>
          <w:trHeight w:val="377"/>
          <w:tblCellSpacing w:w="0" w:type="dxa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5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Các sản phẩm chất béo từ sữa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20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Cream và bơ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L. monocytogens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462" w:rsidRPr="001B0462" w:rsidRDefault="001B0462" w:rsidP="001B046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Salmonella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KPH 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Chất  béo sữa, dầu bơ, chất béo sữa đã tách nước, dầu bơ đã tách nước và chất béo từ sữa dạng phết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L. monocytogens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5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Các sản phẩm sữa lên men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Các sản phẩm sữa lên men đã qua xử lý nhiệt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&lt; 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L. monocytogens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</w:p>
        </w:tc>
      </w:tr>
      <w:tr w:rsidR="001B0462" w:rsidRPr="001B0462" w:rsidTr="001B0462">
        <w:trPr>
          <w:trHeight w:val="172"/>
          <w:tblCellSpacing w:w="0" w:type="dxa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Các sản phẩm sữa lên men không qua xử lý nhiệt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L. monocytogens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1B046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62" w:rsidRPr="001B0462" w:rsidRDefault="001B0462" w:rsidP="001B046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B0462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</w:p>
        </w:tc>
      </w:tr>
    </w:tbl>
    <w:p w:rsidR="001B0462" w:rsidRPr="001B0462" w:rsidRDefault="001B0462" w:rsidP="001B0462">
      <w:pPr>
        <w:shd w:val="clear" w:color="auto" w:fill="FFFFFF"/>
        <w:spacing w:before="120" w:after="120" w:line="240" w:lineRule="auto"/>
        <w:jc w:val="left"/>
        <w:rPr>
          <w:rFonts w:eastAsia="Times New Roman" w:cs="Arial"/>
          <w:color w:val="000000"/>
          <w:sz w:val="18"/>
          <w:szCs w:val="18"/>
        </w:rPr>
      </w:pPr>
      <w:r w:rsidRPr="001B0462">
        <w:rPr>
          <w:rFonts w:eastAsia="Times New Roman" w:cs="Arial"/>
          <w:b/>
          <w:bCs/>
          <w:i/>
          <w:iCs/>
          <w:color w:val="000000"/>
          <w:sz w:val="20"/>
          <w:szCs w:val="20"/>
        </w:rPr>
        <w:t>Ghi chú:</w:t>
      </w:r>
    </w:p>
    <w:p w:rsidR="001B0462" w:rsidRPr="001B0462" w:rsidRDefault="001B0462" w:rsidP="001B0462">
      <w:pPr>
        <w:shd w:val="clear" w:color="auto" w:fill="FFFFFF"/>
        <w:spacing w:before="120" w:after="120" w:line="240" w:lineRule="auto"/>
        <w:jc w:val="left"/>
        <w:rPr>
          <w:rFonts w:eastAsia="Times New Roman" w:cs="Arial"/>
          <w:color w:val="000000"/>
          <w:sz w:val="18"/>
          <w:szCs w:val="18"/>
        </w:rPr>
      </w:pPr>
      <w:r w:rsidRPr="001B0462">
        <w:rPr>
          <w:rFonts w:eastAsia="Times New Roman" w:cs="Arial"/>
          <w:i/>
          <w:iCs/>
          <w:color w:val="000000"/>
          <w:sz w:val="20"/>
          <w:szCs w:val="20"/>
          <w:vertAlign w:val="superscript"/>
        </w:rPr>
        <w:t>(1)</w:t>
      </w:r>
      <w:r w:rsidRPr="001B0462">
        <w:rPr>
          <w:rFonts w:eastAsia="Times New Roman" w:cs="Arial"/>
          <w:i/>
          <w:iCs/>
          <w:color w:val="000000"/>
          <w:sz w:val="20"/>
          <w:szCs w:val="20"/>
        </w:rPr>
        <w:t> đối với sản phẩm dùng ngay</w:t>
      </w:r>
    </w:p>
    <w:p w:rsidR="001B0462" w:rsidRPr="001B0462" w:rsidRDefault="001B0462" w:rsidP="001B0462">
      <w:pPr>
        <w:shd w:val="clear" w:color="auto" w:fill="FFFFFF"/>
        <w:spacing w:before="120" w:after="120" w:line="240" w:lineRule="auto"/>
        <w:jc w:val="left"/>
        <w:rPr>
          <w:rFonts w:eastAsia="Times New Roman" w:cs="Arial"/>
          <w:color w:val="000000"/>
          <w:sz w:val="18"/>
          <w:szCs w:val="18"/>
        </w:rPr>
      </w:pPr>
      <w:r w:rsidRPr="001B0462">
        <w:rPr>
          <w:rFonts w:eastAsia="Times New Roman" w:cs="Arial"/>
          <w:i/>
          <w:iCs/>
          <w:color w:val="000000"/>
          <w:sz w:val="20"/>
          <w:szCs w:val="20"/>
          <w:vertAlign w:val="superscript"/>
        </w:rPr>
        <w:t>(2)</w:t>
      </w:r>
      <w:r w:rsidRPr="001B0462">
        <w:rPr>
          <w:rFonts w:eastAsia="Times New Roman" w:cs="Arial"/>
          <w:i/>
          <w:iCs/>
          <w:color w:val="000000"/>
          <w:sz w:val="20"/>
          <w:szCs w:val="20"/>
        </w:rPr>
        <w:t> trong 25g hoặc 25ml</w:t>
      </w:r>
    </w:p>
    <w:p w:rsidR="00E1535B" w:rsidRDefault="00E1535B">
      <w:bookmarkStart w:id="0" w:name="_GoBack"/>
      <w:bookmarkEnd w:id="0"/>
    </w:p>
    <w:sectPr w:rsidR="00E1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62"/>
    <w:rsid w:val="001B0462"/>
    <w:rsid w:val="00375EDE"/>
    <w:rsid w:val="005D47A3"/>
    <w:rsid w:val="0068008A"/>
    <w:rsid w:val="00A13F0D"/>
    <w:rsid w:val="00E1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02EE7-C805-462D-A845-431D8218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0D"/>
    <w:pPr>
      <w:spacing w:after="0" w:line="36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F0D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0D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08A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F0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F0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08A"/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1B0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2023-03-08T00:55:00Z</dcterms:created>
  <dcterms:modified xsi:type="dcterms:W3CDTF">2023-03-08T00:56:00Z</dcterms:modified>
</cp:coreProperties>
</file>