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5" w:rsidRPr="00D565A5" w:rsidRDefault="00D565A5" w:rsidP="00D565A5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D565A5">
        <w:rPr>
          <w:rFonts w:eastAsia="Times New Roman" w:cs="Arial"/>
          <w:color w:val="000000"/>
          <w:sz w:val="18"/>
          <w:szCs w:val="18"/>
        </w:rPr>
        <w:t> </w:t>
      </w:r>
    </w:p>
    <w:p w:rsidR="00D565A5" w:rsidRPr="00D565A5" w:rsidRDefault="00D565A5" w:rsidP="00D565A5">
      <w:pPr>
        <w:shd w:val="clear" w:color="auto" w:fill="FFFFFF"/>
        <w:spacing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0" w:name="chuong_pl_1"/>
      <w:r w:rsidRPr="00D565A5">
        <w:rPr>
          <w:rFonts w:eastAsia="Times New Roman" w:cs="Arial"/>
          <w:b/>
          <w:bCs/>
          <w:color w:val="000000"/>
          <w:szCs w:val="24"/>
        </w:rPr>
        <w:t>PHỤ LỤC</w:t>
      </w:r>
      <w:bookmarkEnd w:id="0"/>
    </w:p>
    <w:p w:rsidR="00D565A5" w:rsidRPr="00D565A5" w:rsidRDefault="00D565A5" w:rsidP="00D565A5">
      <w:pPr>
        <w:shd w:val="clear" w:color="auto" w:fill="FFFFFF"/>
        <w:spacing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1" w:name="chuong_pl_1_name"/>
      <w:r w:rsidRPr="00D565A5">
        <w:rPr>
          <w:rFonts w:eastAsia="Times New Roman" w:cs="Arial"/>
          <w:color w:val="000000"/>
          <w:sz w:val="18"/>
          <w:szCs w:val="18"/>
        </w:rPr>
        <w:t>MỨC CHỈ DẪN TRONG CHIẾU XẠ Y TẾ</w:t>
      </w:r>
      <w:bookmarkEnd w:id="1"/>
      <w:r w:rsidRPr="00D565A5">
        <w:rPr>
          <w:rFonts w:eastAsia="Times New Roman" w:cs="Arial"/>
          <w:color w:val="000000"/>
          <w:sz w:val="18"/>
          <w:szCs w:val="18"/>
        </w:rPr>
        <w:t> </w:t>
      </w:r>
      <w:r w:rsidRPr="00D565A5">
        <w:rPr>
          <w:rFonts w:eastAsia="Times New Roman" w:cs="Arial"/>
          <w:color w:val="000000"/>
          <w:sz w:val="18"/>
          <w:szCs w:val="18"/>
          <w:vertAlign w:val="superscript"/>
        </w:rPr>
        <w:t>(*)</w:t>
      </w:r>
      <w:r w:rsidRPr="00D565A5">
        <w:rPr>
          <w:rFonts w:eastAsia="Times New Roman" w:cs="Arial"/>
          <w:color w:val="000000"/>
          <w:sz w:val="18"/>
          <w:szCs w:val="18"/>
        </w:rPr>
        <w:br/>
      </w:r>
      <w:r w:rsidRPr="00D565A5">
        <w:rPr>
          <w:rFonts w:eastAsia="Times New Roman" w:cs="Arial"/>
          <w:i/>
          <w:iCs/>
          <w:color w:val="000000"/>
          <w:sz w:val="18"/>
          <w:szCs w:val="18"/>
          <w:lang w:val="vi-VN"/>
        </w:rPr>
        <w:t>(Kèm theo Th</w:t>
      </w:r>
      <w:r w:rsidRPr="00D565A5">
        <w:rPr>
          <w:rFonts w:eastAsia="Times New Roman" w:cs="Arial"/>
          <w:i/>
          <w:iCs/>
          <w:color w:val="000000"/>
          <w:sz w:val="18"/>
          <w:szCs w:val="18"/>
        </w:rPr>
        <w:t>ô</w:t>
      </w:r>
      <w:r w:rsidRPr="00D565A5">
        <w:rPr>
          <w:rFonts w:eastAsia="Times New Roman" w:cs="Arial"/>
          <w:i/>
          <w:iCs/>
          <w:color w:val="000000"/>
          <w:sz w:val="18"/>
          <w:szCs w:val="18"/>
          <w:lang w:val="vi-VN"/>
        </w:rPr>
        <w:t>ng </w:t>
      </w:r>
      <w:r w:rsidRPr="00D565A5">
        <w:rPr>
          <w:rFonts w:eastAsia="Times New Roman" w:cs="Arial"/>
          <w:i/>
          <w:iCs/>
          <w:color w:val="000000"/>
          <w:sz w:val="18"/>
          <w:szCs w:val="18"/>
        </w:rPr>
        <w:t>tư số 13/2018/TT-BKHCN </w:t>
      </w:r>
      <w:r w:rsidRPr="00D565A5">
        <w:rPr>
          <w:rFonts w:eastAsia="Times New Roman" w:cs="Arial"/>
          <w:i/>
          <w:iCs/>
          <w:color w:val="000000"/>
          <w:sz w:val="18"/>
          <w:szCs w:val="18"/>
          <w:lang w:val="vi-VN"/>
        </w:rPr>
        <w:t>ngày 05 tháng 9 năm 2018 sửa đổi, bổ sung một số điều </w:t>
      </w:r>
      <w:r w:rsidRPr="00D565A5">
        <w:rPr>
          <w:rFonts w:eastAsia="Times New Roman" w:cs="Arial"/>
          <w:i/>
          <w:iCs/>
          <w:color w:val="000000"/>
          <w:sz w:val="18"/>
          <w:szCs w:val="18"/>
        </w:rPr>
        <w:t>của Thông tư liên </w:t>
      </w:r>
      <w:r w:rsidRPr="00D565A5">
        <w:rPr>
          <w:rFonts w:eastAsia="Times New Roman" w:cs="Arial"/>
          <w:i/>
          <w:iCs/>
          <w:color w:val="000000"/>
          <w:sz w:val="18"/>
          <w:szCs w:val="18"/>
          <w:lang w:val="vi-VN"/>
        </w:rPr>
        <w:t>tịch số 13/2014/TTLT-BKHCN-BYT ngày 09 tháng 6 năm 2014 của </w:t>
      </w:r>
      <w:r w:rsidRPr="00D565A5">
        <w:rPr>
          <w:rFonts w:eastAsia="Times New Roman" w:cs="Arial"/>
          <w:i/>
          <w:iCs/>
          <w:color w:val="000000"/>
          <w:sz w:val="18"/>
          <w:szCs w:val="18"/>
        </w:rPr>
        <w:t>Bộ trưởng Bộ Khoa </w:t>
      </w:r>
      <w:r w:rsidRPr="00D565A5">
        <w:rPr>
          <w:rFonts w:eastAsia="Times New Roman" w:cs="Arial"/>
          <w:i/>
          <w:iCs/>
          <w:color w:val="000000"/>
          <w:sz w:val="18"/>
          <w:szCs w:val="18"/>
          <w:lang w:val="vi-VN"/>
        </w:rPr>
        <w:t>học và Công nghệ và Bộ trưởng Bộ Y t</w:t>
      </w:r>
      <w:r w:rsidRPr="00D565A5">
        <w:rPr>
          <w:rFonts w:eastAsia="Times New Roman" w:cs="Arial"/>
          <w:i/>
          <w:iCs/>
          <w:color w:val="000000"/>
          <w:sz w:val="18"/>
          <w:szCs w:val="18"/>
        </w:rPr>
        <w:t>ế</w:t>
      </w:r>
      <w:r w:rsidRPr="00D565A5">
        <w:rPr>
          <w:rFonts w:eastAsia="Times New Roman" w:cs="Arial"/>
          <w:i/>
          <w:iCs/>
          <w:color w:val="000000"/>
          <w:sz w:val="18"/>
          <w:szCs w:val="18"/>
          <w:lang w:val="vi-VN"/>
        </w:rPr>
        <w:t>)</w:t>
      </w:r>
    </w:p>
    <w:p w:rsidR="00D565A5" w:rsidRPr="00D565A5" w:rsidRDefault="00D565A5" w:rsidP="00D565A5">
      <w:pPr>
        <w:shd w:val="clear" w:color="auto" w:fill="FFFFFF"/>
        <w:spacing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2" w:name="chuong_pl_21"/>
      <w:r w:rsidRPr="00D565A5">
        <w:rPr>
          <w:rFonts w:eastAsia="Times New Roman" w:cs="Arial"/>
          <w:b/>
          <w:bCs/>
          <w:color w:val="000000"/>
          <w:sz w:val="18"/>
          <w:szCs w:val="18"/>
          <w:lang w:val="vi-VN"/>
        </w:rPr>
        <w:t>Bảng 1. Mức chỉ dẫn liều đối với chụp X-quang chẩn đoán</w:t>
      </w:r>
      <w:bookmarkEnd w:id="2"/>
      <w:r w:rsidRPr="00D565A5">
        <w:rPr>
          <w:rFonts w:eastAsia="Times New Roman" w:cs="Arial"/>
          <w:b/>
          <w:bCs/>
          <w:color w:val="000000"/>
          <w:sz w:val="18"/>
          <w:szCs w:val="18"/>
          <w:vertAlign w:val="superscript"/>
        </w:rPr>
        <w:t>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396"/>
        <w:gridCol w:w="1227"/>
        <w:gridCol w:w="4151"/>
      </w:tblGrid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Ki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u chụp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Liều xâm nhập bề mặt trong 1 lần chụp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 (mGy)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Chụp sọ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1.1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thế sau - trước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PA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1.2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thế nghiêng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LAT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3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Chụp ngực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2.1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thế sau - trước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PA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0,4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2.2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thế nghiêng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LAT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1,5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Chụp cột sống vùng ngực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3.1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thế trước - sau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AP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7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3.2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thế nghiêng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LAT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Chụp bụng, chụp tĩnh mạch, chụp đường tiết niệu và chụp túi mật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thế trước - sau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AP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Chụp cột sống thắt lưng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5.1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thế trước - sau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AP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5.2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thế nghiêng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LAT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30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5.3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Hướng chụp khớp thắt lưng - đốt sống cùng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LSJ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Chụp khung chậu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ế 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trước - sau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AP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Chụp khớp háng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ế 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trước - sau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AP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8</w:t>
            </w:r>
          </w:p>
        </w:tc>
        <w:tc>
          <w:tcPr>
            <w:tcW w:w="4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Chụp răng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8.1</w:t>
            </w:r>
          </w:p>
        </w:tc>
        <w:tc>
          <w:tcPr>
            <w:tcW w:w="2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Chụp răng sử dụng phim đặt sau huyệt 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ổ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răng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7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8.2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Tư thế trước - sau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AP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</w:tbl>
    <w:p w:rsidR="00D565A5" w:rsidRPr="00D565A5" w:rsidRDefault="00D565A5" w:rsidP="00D565A5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D565A5">
        <w:rPr>
          <w:rFonts w:eastAsia="Times New Roman" w:cs="Arial"/>
          <w:color w:val="000000"/>
          <w:sz w:val="18"/>
          <w:szCs w:val="18"/>
          <w:lang w:val="vi-VN"/>
        </w:rPr>
        <w:t>(*) Phụ lục này thay thế Phụ lục III ban hành kèm theo Thông tư liên tịch số 13/2014/TTLT- BKHCN-BYT ngày 09 tháng 6 năm 2014 của Bộ trưởng Bộ Khoa học và Công nghệ và </w:t>
      </w:r>
      <w:r w:rsidRPr="00D565A5">
        <w:rPr>
          <w:rFonts w:eastAsia="Times New Roman" w:cs="Arial"/>
          <w:color w:val="000000"/>
          <w:sz w:val="18"/>
          <w:szCs w:val="18"/>
        </w:rPr>
        <w:t>B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ộ trưởng Bộ Y tế quy định về bảo đảm an toàn bức xạ trong y tế.</w:t>
      </w:r>
    </w:p>
    <w:p w:rsidR="00D565A5" w:rsidRPr="00D565A5" w:rsidRDefault="00D565A5" w:rsidP="00D565A5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D565A5">
        <w:rPr>
          <w:rFonts w:eastAsia="Times New Roman" w:cs="Arial"/>
          <w:color w:val="000000"/>
          <w:sz w:val="18"/>
          <w:szCs w:val="18"/>
          <w:lang w:val="vi-VN"/>
        </w:rPr>
        <w:t>a Áp dụng cho người trưởng thành.</w:t>
      </w:r>
    </w:p>
    <w:p w:rsidR="00D565A5" w:rsidRPr="00D565A5" w:rsidRDefault="00D565A5" w:rsidP="00D565A5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D565A5">
        <w:rPr>
          <w:rFonts w:eastAsia="Times New Roman" w:cs="Arial"/>
          <w:color w:val="000000"/>
          <w:sz w:val="18"/>
          <w:szCs w:val="18"/>
          <w:lang w:val="vi-VN"/>
        </w:rPr>
        <w:t>b </w:t>
      </w:r>
      <w:r w:rsidRPr="00D565A5">
        <w:rPr>
          <w:rFonts w:eastAsia="Times New Roman" w:cs="Arial"/>
          <w:color w:val="000000"/>
          <w:sz w:val="18"/>
          <w:szCs w:val="18"/>
        </w:rPr>
        <w:t>Đo trong không khí với tia tán xạ ngược. Giá trị này áp dụng đối với tổ hợp phim - bìa tăng quang thông thường có độ nhạy 200. Với tổ hợp phim - bìa tăng quang có độ nhạy cao (400-600) giá trị này sẽ giảm khoảng 2 - 3 lần.</w:t>
      </w:r>
    </w:p>
    <w:p w:rsidR="00D565A5" w:rsidRPr="00D565A5" w:rsidRDefault="00D565A5" w:rsidP="00D565A5">
      <w:pPr>
        <w:shd w:val="clear" w:color="auto" w:fill="FFFFFF"/>
        <w:spacing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3" w:name="chuong_pl_2"/>
      <w:r w:rsidRPr="00D565A5">
        <w:rPr>
          <w:rFonts w:eastAsia="Times New Roman" w:cs="Arial"/>
          <w:b/>
          <w:bCs/>
          <w:color w:val="000000"/>
          <w:sz w:val="18"/>
          <w:szCs w:val="18"/>
          <w:lang w:val="vi-VN"/>
        </w:rPr>
        <w:t>Bảng 2. Mức chỉ dẫn liều đối với chụp X-quang vú</w:t>
      </w:r>
      <w:bookmarkEnd w:id="3"/>
      <w:r w:rsidRPr="00D565A5">
        <w:rPr>
          <w:rFonts w:eastAsia="Times New Roman" w:cs="Arial"/>
          <w:b/>
          <w:bCs/>
          <w:color w:val="000000"/>
          <w:sz w:val="18"/>
          <w:szCs w:val="18"/>
          <w:lang w:val="vi-VN"/>
        </w:rPr>
        <w:t> </w:t>
      </w:r>
      <w:r w:rsidRPr="00D565A5">
        <w:rPr>
          <w:rFonts w:eastAsia="Times New Roman" w:cs="Arial"/>
          <w:color w:val="000000"/>
          <w:sz w:val="18"/>
          <w:szCs w:val="18"/>
          <w:vertAlign w:val="superscript"/>
        </w:rPr>
        <w:t>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4151"/>
        <w:gridCol w:w="4151"/>
      </w:tblGrid>
      <w:tr w:rsidR="00D565A5" w:rsidRPr="00D565A5" w:rsidTr="00D565A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4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Li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ề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u mô trung bình trên một l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ầ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n chụp theo hư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ớ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ng đỉnh 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-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 đáy 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Không sử dụng lưới chống tán xạ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 mGy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Sử dụng lưới chống tán xạ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3 mGy</w:t>
            </w:r>
          </w:p>
        </w:tc>
      </w:tr>
    </w:tbl>
    <w:p w:rsidR="00D565A5" w:rsidRPr="00D565A5" w:rsidRDefault="00D565A5" w:rsidP="00D565A5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D565A5">
        <w:rPr>
          <w:rFonts w:eastAsia="Times New Roman" w:cs="Arial"/>
          <w:color w:val="000000"/>
          <w:sz w:val="18"/>
          <w:szCs w:val="18"/>
          <w:vertAlign w:val="superscript"/>
          <w:lang w:val="vi-VN"/>
        </w:rPr>
        <w:t>a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 Áp dụng cho người trưởng thành.</w:t>
      </w:r>
    </w:p>
    <w:p w:rsidR="00D565A5" w:rsidRPr="00D565A5" w:rsidRDefault="00D565A5" w:rsidP="00D565A5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D565A5">
        <w:rPr>
          <w:rFonts w:eastAsia="Times New Roman" w:cs="Arial"/>
          <w:color w:val="000000"/>
          <w:sz w:val="18"/>
          <w:szCs w:val="18"/>
          <w:vertAlign w:val="superscript"/>
          <w:lang w:val="vi-VN"/>
        </w:rPr>
        <w:t>b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 Được xác định v</w:t>
      </w:r>
      <w:r w:rsidRPr="00D565A5">
        <w:rPr>
          <w:rFonts w:eastAsia="Times New Roman" w:cs="Arial"/>
          <w:color w:val="000000"/>
          <w:sz w:val="18"/>
          <w:szCs w:val="18"/>
        </w:rPr>
        <w:t>ớ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i chi</w:t>
      </w:r>
      <w:r w:rsidRPr="00D565A5">
        <w:rPr>
          <w:rFonts w:eastAsia="Times New Roman" w:cs="Arial"/>
          <w:color w:val="000000"/>
          <w:sz w:val="18"/>
          <w:szCs w:val="18"/>
        </w:rPr>
        <w:t>ề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u dày vú ép là 45 mm g</w:t>
      </w:r>
      <w:r w:rsidRPr="00D565A5">
        <w:rPr>
          <w:rFonts w:eastAsia="Times New Roman" w:cs="Arial"/>
          <w:color w:val="000000"/>
          <w:sz w:val="18"/>
          <w:szCs w:val="18"/>
        </w:rPr>
        <w:t>ồ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m 50% mô tuy</w:t>
      </w:r>
      <w:r w:rsidRPr="00D565A5">
        <w:rPr>
          <w:rFonts w:eastAsia="Times New Roman" w:cs="Arial"/>
          <w:color w:val="000000"/>
          <w:sz w:val="18"/>
          <w:szCs w:val="18"/>
        </w:rPr>
        <w:t>ế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n và 50% m</w:t>
      </w:r>
      <w:r w:rsidRPr="00D565A5">
        <w:rPr>
          <w:rFonts w:eastAsia="Times New Roman" w:cs="Arial"/>
          <w:color w:val="000000"/>
          <w:sz w:val="18"/>
          <w:szCs w:val="18"/>
        </w:rPr>
        <w:t>ô 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mỡ đ</w:t>
      </w:r>
      <w:r w:rsidRPr="00D565A5">
        <w:rPr>
          <w:rFonts w:eastAsia="Times New Roman" w:cs="Arial"/>
          <w:color w:val="000000"/>
          <w:sz w:val="18"/>
          <w:szCs w:val="18"/>
        </w:rPr>
        <w:t>ố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i với thiết bị chụp X-quang vú sử dụng bia Mo, phin lọc Mo và hệ phim-b</w:t>
      </w:r>
      <w:r w:rsidRPr="00D565A5">
        <w:rPr>
          <w:rFonts w:eastAsia="Times New Roman" w:cs="Arial"/>
          <w:color w:val="000000"/>
          <w:sz w:val="18"/>
          <w:szCs w:val="18"/>
        </w:rPr>
        <w:t>ì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a tăng quang.</w:t>
      </w:r>
    </w:p>
    <w:p w:rsidR="00D565A5" w:rsidRPr="00D565A5" w:rsidRDefault="00D565A5" w:rsidP="00D565A5">
      <w:pPr>
        <w:shd w:val="clear" w:color="auto" w:fill="FFFFFF"/>
        <w:spacing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4" w:name="chuong_pl_3"/>
      <w:r w:rsidRPr="00D565A5">
        <w:rPr>
          <w:rFonts w:eastAsia="Times New Roman" w:cs="Arial"/>
          <w:b/>
          <w:bCs/>
          <w:color w:val="000000"/>
          <w:sz w:val="18"/>
          <w:szCs w:val="18"/>
          <w:lang w:val="vi-VN"/>
        </w:rPr>
        <w:t>Bảng 3. Mức chỉ dẫn liều đối với chụp cắt lớp vi tính CT Scanner</w:t>
      </w:r>
      <w:bookmarkEnd w:id="4"/>
      <w:r w:rsidRPr="00D565A5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val="vi-VN"/>
        </w:rPr>
        <w:t>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4339"/>
        <w:gridCol w:w="4057"/>
      </w:tblGrid>
      <w:tr w:rsidR="00D565A5" w:rsidRPr="00D565A5" w:rsidTr="00D565A5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Ki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u chụp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Liều trung bình cho một lần chụp với nhiều lát cắt 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val="vi-VN"/>
              </w:rPr>
              <w:t>b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(mGy)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Chụp đầu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Ch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ụ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 c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ộ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 sống thắt l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ư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35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Chụp ổ bụng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25</w:t>
            </w:r>
          </w:p>
        </w:tc>
      </w:tr>
    </w:tbl>
    <w:p w:rsidR="00D565A5" w:rsidRPr="00D565A5" w:rsidRDefault="00D565A5" w:rsidP="00D565A5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D565A5">
        <w:rPr>
          <w:rFonts w:eastAsia="Times New Roman" w:cs="Arial"/>
          <w:color w:val="000000"/>
          <w:sz w:val="18"/>
          <w:szCs w:val="18"/>
          <w:vertAlign w:val="superscript"/>
          <w:lang w:val="vi-VN"/>
        </w:rPr>
        <w:t>a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 Áp dụng cho người trưởng thành.</w:t>
      </w:r>
    </w:p>
    <w:p w:rsidR="00D565A5" w:rsidRPr="00D565A5" w:rsidRDefault="00D565A5" w:rsidP="00D565A5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D565A5">
        <w:rPr>
          <w:rFonts w:eastAsia="Times New Roman" w:cs="Arial"/>
          <w:color w:val="000000"/>
          <w:sz w:val="18"/>
          <w:szCs w:val="18"/>
          <w:vertAlign w:val="superscript"/>
          <w:lang w:val="vi-VN"/>
        </w:rPr>
        <w:t>b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 Đo trên trục quay trong phantom tươ</w:t>
      </w:r>
      <w:r w:rsidRPr="00D565A5">
        <w:rPr>
          <w:rFonts w:eastAsia="Times New Roman" w:cs="Arial"/>
          <w:color w:val="000000"/>
          <w:sz w:val="18"/>
          <w:szCs w:val="18"/>
        </w:rPr>
        <w:t>n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g đương nước c</w:t>
      </w:r>
      <w:r w:rsidRPr="00D565A5">
        <w:rPr>
          <w:rFonts w:eastAsia="Times New Roman" w:cs="Arial"/>
          <w:color w:val="000000"/>
          <w:sz w:val="18"/>
          <w:szCs w:val="18"/>
        </w:rPr>
        <w:t>ó 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độ dài 15 cm và đường </w:t>
      </w:r>
      <w:r w:rsidRPr="00D565A5">
        <w:rPr>
          <w:rFonts w:eastAsia="Times New Roman" w:cs="Arial"/>
          <w:color w:val="000000"/>
          <w:sz w:val="18"/>
          <w:szCs w:val="18"/>
        </w:rPr>
        <w:t>kí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nh 16 cm (đối với chụp sọ) và đường kính 30 cm (đối với chụp cột sống thắt lưng và chụp </w:t>
      </w:r>
      <w:r w:rsidRPr="00D565A5">
        <w:rPr>
          <w:rFonts w:eastAsia="Times New Roman" w:cs="Arial"/>
          <w:color w:val="000000"/>
          <w:sz w:val="18"/>
          <w:szCs w:val="18"/>
        </w:rPr>
        <w:t>ổ 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bụng).</w:t>
      </w:r>
    </w:p>
    <w:p w:rsidR="00D565A5" w:rsidRPr="00D565A5" w:rsidRDefault="00D565A5" w:rsidP="00D565A5">
      <w:pPr>
        <w:shd w:val="clear" w:color="auto" w:fill="FFFFFF"/>
        <w:spacing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5" w:name="chuong_pl_4"/>
      <w:r w:rsidRPr="00D565A5">
        <w:rPr>
          <w:rFonts w:eastAsia="Times New Roman" w:cs="Arial"/>
          <w:b/>
          <w:bCs/>
          <w:color w:val="000000"/>
          <w:sz w:val="18"/>
          <w:szCs w:val="18"/>
          <w:lang w:val="vi-VN"/>
        </w:rPr>
        <w:t>Bảng 4. Mức chỉ dẫn suất liều đối với soi chiếu X-quang</w:t>
      </w:r>
      <w:bookmarkEnd w:id="5"/>
      <w:r w:rsidRPr="00D565A5">
        <w:rPr>
          <w:rFonts w:eastAsia="Times New Roman" w:cs="Arial"/>
          <w:color w:val="000000"/>
          <w:sz w:val="18"/>
          <w:szCs w:val="18"/>
          <w:lang w:val="vi-VN"/>
        </w:rPr>
        <w:t> </w:t>
      </w:r>
      <w:r w:rsidRPr="00D565A5">
        <w:rPr>
          <w:rFonts w:eastAsia="Times New Roman" w:cs="Arial"/>
          <w:color w:val="000000"/>
          <w:sz w:val="18"/>
          <w:szCs w:val="18"/>
          <w:vertAlign w:val="superscript"/>
        </w:rPr>
        <w:t>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4339"/>
        <w:gridCol w:w="4057"/>
      </w:tblGrid>
      <w:tr w:rsidR="00D565A5" w:rsidRPr="00D565A5" w:rsidTr="00D565A5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Kiểu soi chiếu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Suất liều bề mặt lối vào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val="vi-VN"/>
              </w:rPr>
              <w:t>b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(mGy/phút)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Bình thường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25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Mức cao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val="vi-VN"/>
              </w:rPr>
              <w:t>c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100</w:t>
            </w:r>
          </w:p>
        </w:tc>
      </w:tr>
    </w:tbl>
    <w:p w:rsidR="00D565A5" w:rsidRPr="00D565A5" w:rsidRDefault="00D565A5" w:rsidP="00D565A5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D565A5">
        <w:rPr>
          <w:rFonts w:eastAsia="Times New Roman" w:cs="Arial"/>
          <w:color w:val="000000"/>
          <w:sz w:val="18"/>
          <w:szCs w:val="18"/>
          <w:vertAlign w:val="superscript"/>
        </w:rPr>
        <w:t>a</w:t>
      </w:r>
      <w:r w:rsidRPr="00D565A5">
        <w:rPr>
          <w:rFonts w:eastAsia="Times New Roman" w:cs="Arial"/>
          <w:color w:val="000000"/>
          <w:sz w:val="18"/>
          <w:szCs w:val="18"/>
        </w:rPr>
        <w:t> 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Áp dụng cho người trưởng thành.</w:t>
      </w:r>
    </w:p>
    <w:p w:rsidR="00D565A5" w:rsidRPr="00D565A5" w:rsidRDefault="00D565A5" w:rsidP="00D565A5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D565A5">
        <w:rPr>
          <w:rFonts w:eastAsia="Times New Roman" w:cs="Arial"/>
          <w:color w:val="000000"/>
          <w:sz w:val="18"/>
          <w:szCs w:val="18"/>
          <w:vertAlign w:val="superscript"/>
          <w:lang w:val="vi-VN"/>
        </w:rPr>
        <w:t>b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 Đo trong không khí với tia tán xạ ngược.</w:t>
      </w:r>
    </w:p>
    <w:p w:rsidR="00D565A5" w:rsidRPr="00D565A5" w:rsidRDefault="00D565A5" w:rsidP="00D565A5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D565A5">
        <w:rPr>
          <w:rFonts w:eastAsia="Times New Roman" w:cs="Arial"/>
          <w:color w:val="000000"/>
          <w:sz w:val="18"/>
          <w:szCs w:val="18"/>
          <w:vertAlign w:val="superscript"/>
          <w:lang w:val="vi-VN"/>
        </w:rPr>
        <w:t>c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 Áp dụng cho thiết bị có lựa chọn chế độ làm việc soi chiếu “mức cao” - “high level” như các thiết bị chụp </w:t>
      </w:r>
      <w:r w:rsidRPr="00D565A5">
        <w:rPr>
          <w:rFonts w:eastAsia="Times New Roman" w:cs="Arial"/>
          <w:color w:val="000000"/>
          <w:sz w:val="18"/>
          <w:szCs w:val="18"/>
        </w:rPr>
        <w:t>X</w:t>
      </w:r>
      <w:r w:rsidRPr="00D565A5">
        <w:rPr>
          <w:rFonts w:eastAsia="Times New Roman" w:cs="Arial"/>
          <w:color w:val="000000"/>
          <w:sz w:val="18"/>
          <w:szCs w:val="18"/>
          <w:lang w:val="vi-VN"/>
        </w:rPr>
        <w:t>-quang can thiệp.</w:t>
      </w:r>
    </w:p>
    <w:p w:rsidR="00D565A5" w:rsidRPr="00D565A5" w:rsidRDefault="00D565A5" w:rsidP="00D565A5">
      <w:pPr>
        <w:shd w:val="clear" w:color="auto" w:fill="FFFFFF"/>
        <w:spacing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6" w:name="chuong_pl_5"/>
      <w:r w:rsidRPr="00D565A5">
        <w:rPr>
          <w:rFonts w:eastAsia="Times New Roman" w:cs="Arial"/>
          <w:b/>
          <w:bCs/>
          <w:color w:val="000000"/>
          <w:sz w:val="18"/>
          <w:szCs w:val="18"/>
          <w:lang w:val="vi-VN"/>
        </w:rPr>
        <w:t>Bảng 5. Hoạt độ phóng xạ trong y học hạt nhân áp dụng cho người trưởng thành</w:t>
      </w:r>
      <w:bookmarkEnd w:id="6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27"/>
        <w:gridCol w:w="1228"/>
        <w:gridCol w:w="2740"/>
        <w:gridCol w:w="1889"/>
      </w:tblGrid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Phép kiểm tra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Hạt nhân phóng 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xạ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Dạng hóa chất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Hoạt độ lớn nhất thường dùng cho một kiểm tra (MBq)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(5)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46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Xương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1.1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xương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Phosphonat và phosphat 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ợ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 chất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600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1.2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xương bằng chụp cắt lớp đ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ơ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 photon (SPECT)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Phosphonat và phosphat 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ợ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 chất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1.3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tủy xương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Keo đánh dấu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6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Não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2.1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não (tĩnh)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O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4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Ax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 diethylene triamin penta axetic (DTPA), gluconat và gl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u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coheptonat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2.2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não (SPECT)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O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4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DTPA, gluconat và glucoheptonat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Exametazin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2.3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Lưu thông máu não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Xe-133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Trong dung dịch natri clorua đẳng trương.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Hexametyl propylene amin oxym (HM-PAO).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2.4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dịch não tủy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n-111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DTPA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46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Tuy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n lệ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3.1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Lưu thông tuyến lệ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O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4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Keo đánh dấu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46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Tuy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n giáp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4.1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tuyến giáp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O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4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-123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4.2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Điều trị di căn tuyến giáp (sau cắt bỏ)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-131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4.3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tuyến cận giáp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-201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Taliclorua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46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Phổi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5.1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thông khí phổi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Kr-81m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Khí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6000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DTPA sol khí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5.2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Nghiên cứu thông khí phổi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Xe-133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Khí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Xe-127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Khí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5.3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tưới máu ph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ổ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Kr-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81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Dung dịch nước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6000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Albumin của người (macroagregate hoặc microsphere)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5.4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tưới máu phổi (Với tĩnh mạch)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Albumin của người (macroagregate hoặc microsphere)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160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5.5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Nghiên cứu tưới máu phổi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Xe-133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Dung dịch đ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ẳ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ng trương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Xe-127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Dung dịch clorua đẳng trương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5.6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phổi (SPECT)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Macroaggregated albumin (MAA)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46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Gan và lá lách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6.1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gan và lá lách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Keo đánh dấu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6.2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Chụp hình chức năng hệ bài tiết mật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Irn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nodiaxetat và dung môi tương đương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150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6.3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lá lách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ế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bào 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ồ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ng c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ầ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u biến tính được đánh dấu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6.4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gan (SPECT)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Keo đánh dấu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46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H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 tim m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ạ</w:t>
            </w: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ch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7.1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Nghiên cứu dòng máu qua tim lần đầu.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O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4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DTPA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Macroaggregated Globu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l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in 3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7.2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ì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nh bể máu ở buồng tim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 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Phức hợp albumin của người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7.3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hệ tim mạch /nghiên cứu thử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 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Phức 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ợ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 a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l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bumin của người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 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T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ế bào hồng cầu lành được đánh dấu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7.4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cơ t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m/nghiên cứu th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ử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Phosphonat và phosphat 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ợ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 chất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600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7.5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cơ tim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Isonitril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300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-201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Taliclorua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7.6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cơ tim (SPECT)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Phosphonat và phosphat 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ợ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 chất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Isonitril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600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46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Dạ dày, hệ tiêu hóa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8.1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dạ dày và tuyến nước bọt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O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4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8.2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chẩn đoán túi thừa Meckel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O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4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8.3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chẩn đoán xuất huyết đường tiêu hóa (Chảy máu 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ru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ột non)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Keo đánh dấu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ế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bào hồng cầu lành đánh dấu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8.4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chức năng thực quản và trào ngược dạ dày 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th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ự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c quản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Keo đánh dấu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Hợp chất không hấp thụ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8.5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co bóp làm trống dạ dày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Hợp chất không hấp thụ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In-111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Hợp chất không hấp thụ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In-113m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H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ợ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p chất không hấp thụ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46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Thận, hệ thống tiết niệu và thượng thận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9.1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chức năng thận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Acid dimercaptosuccinic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160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9.2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thận/thận đồ đồng vị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DTPA, gluconat và Glucoheptonat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350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Macroaggregated Glob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u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lin 3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-123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O-iodohippurat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9.3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tuyến thượng thận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Se-75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Selenor cholesterol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46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Một số phép kiểm tra khác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10.1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áp xe và các khối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 u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Ga-67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xitrat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300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-201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Taliclorua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10.2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chẩn đoán khối u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 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Acid dimercaptosuccinic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10.3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khối 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u 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thần kinh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-123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Meta-iodo-benzyl guanidin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-131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Meta-iodo-benzyl guanidin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10.4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bạch mạch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Keo đánh dấu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80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10.5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áp xe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Tc-99m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ế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bào bạch cầu đánh dấu bởi exametazim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400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5A5" w:rsidRPr="00D565A5" w:rsidRDefault="00D565A5" w:rsidP="00D565A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In-111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ế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 bào bạch cầu đánh dấu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</w:tr>
      <w:tr w:rsidR="00D565A5" w:rsidRPr="00D565A5" w:rsidTr="00D565A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10.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Xạ hình chẩn đoán tắc mạch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In-111</w:t>
            </w:r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Ti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ể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u huy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ế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 c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</w:rPr>
              <w:t>ầ</w:t>
            </w: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u đánh dấu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A5" w:rsidRPr="00D565A5" w:rsidRDefault="00D565A5" w:rsidP="00D565A5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565A5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</w:tr>
    </w:tbl>
    <w:p w:rsidR="00E1535B" w:rsidRDefault="00E1535B">
      <w:bookmarkStart w:id="7" w:name="_GoBack"/>
      <w:bookmarkEnd w:id="7"/>
    </w:p>
    <w:sectPr w:rsidR="00E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A5"/>
    <w:rsid w:val="00375EDE"/>
    <w:rsid w:val="005D47A3"/>
    <w:rsid w:val="005D5444"/>
    <w:rsid w:val="0068008A"/>
    <w:rsid w:val="00A13F0D"/>
    <w:rsid w:val="00D565A5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CB474-511D-4FBC-80AB-9E5EE1B8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0D"/>
    <w:pPr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F0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0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8A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F0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F0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8A"/>
    <w:rPr>
      <w:rFonts w:ascii="Times New Roman" w:eastAsiaTheme="majorEastAsia" w:hAnsi="Times New Roman" w:cstheme="majorBidi"/>
      <w:b/>
      <w:i/>
      <w:sz w:val="26"/>
      <w:szCs w:val="24"/>
    </w:rPr>
  </w:style>
  <w:style w:type="paragraph" w:customStyle="1" w:styleId="msonormal0">
    <w:name w:val="msonormal"/>
    <w:basedOn w:val="Normal"/>
    <w:rsid w:val="00D565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D565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2023-03-17T09:14:00Z</dcterms:created>
  <dcterms:modified xsi:type="dcterms:W3CDTF">2023-03-17T09:14:00Z</dcterms:modified>
</cp:coreProperties>
</file>