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center"/>
        <w:rPr>
          <w:b w:val="1"/>
          <w:sz w:val="18"/>
          <w:szCs w:val="18"/>
          <w:highlight w:val="white"/>
        </w:rPr>
      </w:pPr>
      <w:r w:rsidDel="00000000" w:rsidR="00000000" w:rsidRPr="00000000">
        <w:rPr>
          <w:b w:val="1"/>
          <w:sz w:val="18"/>
          <w:szCs w:val="18"/>
          <w:highlight w:val="white"/>
          <w:rtl w:val="0"/>
        </w:rPr>
        <w:t xml:space="preserve">PHỤ LỤC I</w:t>
      </w:r>
    </w:p>
    <w:p w:rsidR="00000000" w:rsidDel="00000000" w:rsidP="00000000" w:rsidRDefault="00000000" w:rsidRPr="00000000" w14:paraId="0000000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center"/>
        <w:rPr>
          <w:i w:val="1"/>
          <w:sz w:val="20"/>
          <w:szCs w:val="20"/>
          <w:highlight w:val="white"/>
        </w:rPr>
      </w:pPr>
      <w:r w:rsidDel="00000000" w:rsidR="00000000" w:rsidRPr="00000000">
        <w:rPr>
          <w:sz w:val="20"/>
          <w:szCs w:val="20"/>
          <w:highlight w:val="white"/>
          <w:rtl w:val="0"/>
        </w:rPr>
        <w:t xml:space="preserve">DANH MỤC NGÀNH NGHỀ TÍNH THUẾ GTGT, THUẾ TNCN THEO TỶ LỆ % TRÊN DOANH THU ĐỐI VỚI HỘ KINH DOANH, CÁ NHÂN KINH DOANH</w:t>
        <w:br w:type="textWrapping"/>
      </w:r>
      <w:r w:rsidDel="00000000" w:rsidR="00000000" w:rsidRPr="00000000">
        <w:rPr>
          <w:i w:val="1"/>
          <w:sz w:val="20"/>
          <w:szCs w:val="20"/>
          <w:highlight w:val="white"/>
          <w:rtl w:val="0"/>
        </w:rPr>
        <w:t xml:space="preserve">(Ban hành kèm theo Thông tư số 40/2021/TT-BTC ngày 01 tháng 6 năm 2021 của Bộ trưởng Bộ Tài chính)</w:t>
      </w:r>
    </w:p>
    <w:tbl>
      <w:tblPr>
        <w:tblStyle w:val="Table1"/>
        <w:tblW w:w="8850.0" w:type="dxa"/>
        <w:jc w:val="lef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15"/>
        <w:gridCol w:w="5280"/>
        <w:gridCol w:w="900"/>
        <w:gridCol w:w="2055"/>
        <w:tblGridChange w:id="0">
          <w:tblGrid>
            <w:gridCol w:w="615"/>
            <w:gridCol w:w="5280"/>
            <w:gridCol w:w="900"/>
            <w:gridCol w:w="2055"/>
          </w:tblGrid>
        </w:tblGridChange>
      </w:tblGrid>
      <w:tr>
        <w:trPr>
          <w:cantSplit w:val="0"/>
          <w:trHeight w:val="975" w:hRule="atLeast"/>
          <w:tblHeader w:val="0"/>
        </w:trPr>
        <w:tc>
          <w:tcPr>
            <w:tcBorders>
              <w:top w:color="000000" w:space="0" w:sz="7" w:val="single"/>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STT</w:t>
            </w:r>
          </w:p>
        </w:tc>
        <w:tc>
          <w:tcPr>
            <w:tcBorders>
              <w:top w:color="000000" w:space="0" w:sz="7" w:val="single"/>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Danh mục ngành nghề</w:t>
            </w:r>
          </w:p>
        </w:tc>
        <w:tc>
          <w:tcPr>
            <w:tcBorders>
              <w:top w:color="000000" w:space="0" w:sz="7" w:val="single"/>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Tỷ lệ % tính thuế GTGT</w:t>
            </w:r>
          </w:p>
        </w:tc>
        <w:tc>
          <w:tcPr>
            <w:tcBorders>
              <w:top w:color="000000" w:space="0" w:sz="7" w:val="single"/>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Thuế suất thuế TNCN</w:t>
            </w:r>
          </w:p>
        </w:tc>
      </w:tr>
      <w:tr>
        <w:trPr>
          <w:cantSplit w:val="0"/>
          <w:trHeight w:val="495" w:hRule="atLeast"/>
          <w:tblHeader w:val="0"/>
        </w:trPr>
        <w:tc>
          <w:tcPr>
            <w:vMerge w:val="restart"/>
            <w:tcBorders>
              <w:top w:color="000000" w:space="0" w:sz="0" w:val="nil"/>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1.</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b w:val="1"/>
                <w:sz w:val="20"/>
                <w:szCs w:val="20"/>
                <w:highlight w:val="white"/>
              </w:rPr>
            </w:pPr>
            <w:r w:rsidDel="00000000" w:rsidR="00000000" w:rsidRPr="00000000">
              <w:rPr>
                <w:b w:val="1"/>
                <w:sz w:val="20"/>
                <w:szCs w:val="20"/>
                <w:highlight w:val="white"/>
                <w:rtl w:val="0"/>
              </w:rPr>
              <w:t xml:space="preserve">Phân phối, cung cấp hàng hóa</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154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0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bán buôn, bán lẻ các loại hàng hóa (trừ giá trị hàng hóa đại lý bán đúng giá hưởng hoa hồng);</w:t>
            </w:r>
          </w:p>
          <w:p w:rsidR="00000000" w:rsidDel="00000000" w:rsidP="00000000" w:rsidRDefault="00000000" w:rsidRPr="00000000" w14:paraId="0000000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Khoản thưởng, hỗ trợ đạt doanh số, khuyến mại, chiết khấu thương mại, chiết khấu thanh toán, chi hỗ trợ bằng tiền hoặc không bằng tiền cho hộ khoán;</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0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1%</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0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0,5%</w:t>
            </w:r>
          </w:p>
        </w:tc>
      </w:tr>
      <w:tr>
        <w:trPr>
          <w:cantSplit w:val="0"/>
          <w:trHeight w:val="388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phân phối, cung cấp hàng hóa không chịu thuế GTGT, không phải khai thuế GTGT, thuộc diện chịu thuế GTGT 0% theo pháp luật về thuế GTGT;</w:t>
            </w:r>
          </w:p>
          <w:p w:rsidR="00000000" w:rsidDel="00000000" w:rsidP="00000000" w:rsidRDefault="00000000" w:rsidRPr="00000000" w14:paraId="0000001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hợp tác kinh doanh với tổ chức thuộc nhóm ngành nghề này mà tổ chức có trách nhiệm khai thuế GTGT đối với toàn bộ doanh thu của hoạt động hợp tác kinh doanh theo quy định;</w:t>
            </w:r>
          </w:p>
          <w:p w:rsidR="00000000" w:rsidDel="00000000" w:rsidP="00000000" w:rsidRDefault="00000000" w:rsidRPr="00000000" w14:paraId="0000001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Khoản thưởng, hỗ trợ đạt doanh số, khuyến mại, chiết khấu thương mại, chiết khấu thanh toán, chi hỗ trợ bằng tiền hoặc không bằng tiền cho hộ khoán gắn với mua hàng hóa, dịch vụ thuộc đối tượng không chịu thuế GTGT, không phải khai thuế GTGT, thuộc diện chịu thuế GTGT 0% theo pháp luật về thuế GTGT;</w:t>
            </w:r>
          </w:p>
          <w:p w:rsidR="00000000" w:rsidDel="00000000" w:rsidP="00000000" w:rsidRDefault="00000000" w:rsidRPr="00000000" w14:paraId="0000001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Khoản bồi thường vi phạm hợp đồng, bồi thường khác.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0,5%</w:t>
            </w:r>
          </w:p>
        </w:tc>
      </w:tr>
      <w:tr>
        <w:trPr>
          <w:cantSplit w:val="0"/>
          <w:trHeight w:val="495"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2.</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b w:val="1"/>
                <w:sz w:val="20"/>
                <w:szCs w:val="20"/>
                <w:highlight w:val="white"/>
              </w:rPr>
            </w:pPr>
            <w:r w:rsidDel="00000000" w:rsidR="00000000" w:rsidRPr="00000000">
              <w:rPr>
                <w:b w:val="1"/>
                <w:sz w:val="20"/>
                <w:szCs w:val="20"/>
                <w:highlight w:val="white"/>
                <w:rtl w:val="0"/>
              </w:rPr>
              <w:t xml:space="preserve">Dịch vụ, xây dựng không bao thầu nguyên vật liệu</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847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lưu trú gồm: Hoạt động cung cấp cơ sở lưu trú ngắn hạn cho khách du lịch, khách vãng lai khác; hoạt động cung cấp cơ sở lưu trú dài hạn không phải là căn hộ cho sinh viên, công nhân và những đối tượng tương tự; hoạt động cung cấp cơ sở lưu trú cùng dịch vụ ăn uống hoặc các phương tiện giải trí;</w:t>
            </w:r>
          </w:p>
          <w:p w:rsidR="00000000" w:rsidDel="00000000" w:rsidP="00000000" w:rsidRDefault="00000000" w:rsidRPr="00000000" w14:paraId="0000001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bốc xếp hàng hóa và hoạt động dịch vụ hỗ trợ khác liên quan đến vận tải như kinh doanh bến bãi, bán vé, trông giữ phương tiện;</w:t>
            </w:r>
          </w:p>
          <w:p w:rsidR="00000000" w:rsidDel="00000000" w:rsidP="00000000" w:rsidRDefault="00000000" w:rsidRPr="00000000" w14:paraId="0000001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bưu chính, chuyển phát thư tín và bưu kiện;</w:t>
            </w:r>
          </w:p>
          <w:p w:rsidR="00000000" w:rsidDel="00000000" w:rsidP="00000000" w:rsidRDefault="00000000" w:rsidRPr="00000000" w14:paraId="0000001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môi giới, đấu giá và hoa hồng đại lý;</w:t>
            </w:r>
          </w:p>
          <w:p w:rsidR="00000000" w:rsidDel="00000000" w:rsidP="00000000" w:rsidRDefault="00000000" w:rsidRPr="00000000" w14:paraId="0000002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tư vấn pháp luật, tư vấn tài chính, kế toán, kiểm toán; dịch vụ làm thủ tục hành chính thuế, hải quan;</w:t>
            </w:r>
          </w:p>
          <w:p w:rsidR="00000000" w:rsidDel="00000000" w:rsidP="00000000" w:rsidRDefault="00000000" w:rsidRPr="00000000" w14:paraId="0000002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xử lý dữ liệu, cho thuê cổng thông tin, thiết bị công nghệ thông tin, viễn thông; quảng cáo trên sản phẩm, dịch vụ nội dung thông tin số;</w:t>
            </w:r>
          </w:p>
          <w:p w:rsidR="00000000" w:rsidDel="00000000" w:rsidP="00000000" w:rsidRDefault="00000000" w:rsidRPr="00000000" w14:paraId="0000002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hỗ trợ văn phòng và các dịch vụ hỗ trợ kinh doanh khác;</w:t>
            </w:r>
          </w:p>
          <w:p w:rsidR="00000000" w:rsidDel="00000000" w:rsidP="00000000" w:rsidRDefault="00000000" w:rsidRPr="00000000" w14:paraId="0000002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tắm hơi, massage, karaoke, vũ trường, bi-a, internet, game;</w:t>
            </w:r>
          </w:p>
          <w:p w:rsidR="00000000" w:rsidDel="00000000" w:rsidP="00000000" w:rsidRDefault="00000000" w:rsidRPr="00000000" w14:paraId="0000002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may đo, giặt là; cắt tóc, làm đầu, gội đầu;</w:t>
            </w:r>
          </w:p>
          <w:p w:rsidR="00000000" w:rsidDel="00000000" w:rsidP="00000000" w:rsidRDefault="00000000" w:rsidRPr="00000000" w14:paraId="0000002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sửa chữa khác bao gồm: sửa chữa máy vi tính và các đồ dùng gia đình;</w:t>
            </w:r>
          </w:p>
          <w:p w:rsidR="00000000" w:rsidDel="00000000" w:rsidP="00000000" w:rsidRDefault="00000000" w:rsidRPr="00000000" w14:paraId="0000002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tư vấn, thiết kế, giám sát thi công xây dựng cơ bản;</w:t>
            </w:r>
          </w:p>
          <w:p w:rsidR="00000000" w:rsidDel="00000000" w:rsidP="00000000" w:rsidRDefault="00000000" w:rsidRPr="00000000" w14:paraId="0000002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Các dịch vụ khác thuộc đối tượng tính thuế GTGT theo phương pháp khấu trừ với mức thuế suất thuế GTGT 10%;</w:t>
            </w:r>
          </w:p>
          <w:p w:rsidR="00000000" w:rsidDel="00000000" w:rsidP="00000000" w:rsidRDefault="00000000" w:rsidRPr="00000000" w14:paraId="0000002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Xây dựng, lắp đặt không bao thầu nguyên vật liệu (bao gồm cả lắp đặt máy móc, thiết bị công nghiệp);</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5%</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2%</w:t>
            </w:r>
          </w:p>
        </w:tc>
      </w:tr>
      <w:tr>
        <w:trPr>
          <w:cantSplit w:val="0"/>
          <w:trHeight w:val="237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cung cấp dịch vụ không chịu thuế GTGT, không phải khai thuế GTGT, thuộc diện chịu thuế GTGT 0% theo pháp luật về thuế GTGT;</w:t>
            </w:r>
          </w:p>
          <w:p w:rsidR="00000000" w:rsidDel="00000000" w:rsidP="00000000" w:rsidRDefault="00000000" w:rsidRPr="00000000" w14:paraId="0000002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hợp tác kinh doanh với tổ chức thuộc nhóm ngành nghề này mà tổ chức có trách nhiệm khai thuế GTGT đối với toàn bộ doanh thu của hoạt động hợp tác kinh doanh theo quy định;</w:t>
            </w:r>
          </w:p>
          <w:p w:rsidR="00000000" w:rsidDel="00000000" w:rsidP="00000000" w:rsidRDefault="00000000" w:rsidRPr="00000000" w14:paraId="0000002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Khoản bồi thường vi phạm hợp đồng, bồi thường khác;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2%</w:t>
            </w:r>
          </w:p>
        </w:tc>
      </w:tr>
      <w:tr>
        <w:trPr>
          <w:cantSplit w:val="0"/>
          <w:trHeight w:val="202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Cho thuê tài sản gồm:</w:t>
            </w:r>
          </w:p>
          <w:p w:rsidR="00000000" w:rsidDel="00000000" w:rsidP="00000000" w:rsidRDefault="00000000" w:rsidRPr="00000000" w14:paraId="0000003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Cho thuê nhà, đất, cửa hàng, nhà xưởng, kho bãi trừ dịch vụ lưu trú;</w:t>
            </w:r>
          </w:p>
          <w:p w:rsidR="00000000" w:rsidDel="00000000" w:rsidP="00000000" w:rsidRDefault="00000000" w:rsidRPr="00000000" w14:paraId="0000003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Cho thuê phương tiện vận tải, máy móc thiết bị không kèm theo người điều khiển;</w:t>
            </w:r>
          </w:p>
          <w:p w:rsidR="00000000" w:rsidDel="00000000" w:rsidP="00000000" w:rsidRDefault="00000000" w:rsidRPr="00000000" w14:paraId="0000003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Cho thuê tài sản khác không kèm theo dịch vụ;</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5%</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5%</w:t>
            </w:r>
          </w:p>
        </w:tc>
      </w:tr>
      <w:tr>
        <w:trPr>
          <w:cantSplit w:val="0"/>
          <w:trHeight w:val="84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Làm đại lý xổ số, đại lý bảo hiểm, bán hàng đa cấp;</w:t>
            </w:r>
          </w:p>
          <w:p w:rsidR="00000000" w:rsidDel="00000000" w:rsidP="00000000" w:rsidRDefault="00000000" w:rsidRPr="00000000" w14:paraId="0000003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Khoản bồi thường vi phạm hợp đồng, bồi thường khác.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5%</w:t>
            </w:r>
          </w:p>
        </w:tc>
      </w:tr>
      <w:tr>
        <w:trPr>
          <w:cantSplit w:val="0"/>
          <w:trHeight w:val="72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3.</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b w:val="1"/>
                <w:sz w:val="20"/>
                <w:szCs w:val="20"/>
                <w:highlight w:val="white"/>
              </w:rPr>
            </w:pPr>
            <w:r w:rsidDel="00000000" w:rsidR="00000000" w:rsidRPr="00000000">
              <w:rPr>
                <w:b w:val="1"/>
                <w:sz w:val="20"/>
                <w:szCs w:val="20"/>
                <w:highlight w:val="white"/>
                <w:rtl w:val="0"/>
              </w:rPr>
              <w:t xml:space="preserve">Sản xuất, vận tải, dịch vụ có gắn với hàng hóa, xây dựng có bao thầu nguyên vật liệu</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414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Sản xuất, gia công, chế biến sản phẩm hàng hóa;</w:t>
            </w:r>
          </w:p>
          <w:p w:rsidR="00000000" w:rsidDel="00000000" w:rsidP="00000000" w:rsidRDefault="00000000" w:rsidRPr="00000000" w14:paraId="0000004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Khai thác, chế biến khoáng sản;</w:t>
            </w:r>
          </w:p>
          <w:p w:rsidR="00000000" w:rsidDel="00000000" w:rsidP="00000000" w:rsidRDefault="00000000" w:rsidRPr="00000000" w14:paraId="0000004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Vận tải hàng hóa, vận tải hành khách;</w:t>
            </w:r>
          </w:p>
          <w:p w:rsidR="00000000" w:rsidDel="00000000" w:rsidP="00000000" w:rsidRDefault="00000000" w:rsidRPr="00000000" w14:paraId="0000004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kèm theo bán hàng hóa như dịch vụ đào tạo, bảo dưỡng, chuyển giao công nghệ kèm theo bán sản phẩm;</w:t>
            </w:r>
          </w:p>
          <w:p w:rsidR="00000000" w:rsidDel="00000000" w:rsidP="00000000" w:rsidRDefault="00000000" w:rsidRPr="00000000" w14:paraId="0000004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ăn uống;</w:t>
            </w:r>
          </w:p>
          <w:p w:rsidR="00000000" w:rsidDel="00000000" w:rsidP="00000000" w:rsidRDefault="00000000" w:rsidRPr="00000000" w14:paraId="0000004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Dịch vụ sửa chữa và bảo dưỡng máy móc thiết bị, phương tiện vận tải, ô tô, mô tô, xe máy và xe có động cơ khác;</w:t>
            </w:r>
          </w:p>
          <w:p w:rsidR="00000000" w:rsidDel="00000000" w:rsidP="00000000" w:rsidRDefault="00000000" w:rsidRPr="00000000" w14:paraId="0000004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Xây dựng, lắp đặt có bao thầu nguyên vật liệu (bao gồm cả lắp đặt máy móc, thiết bị công nghiệp);</w:t>
            </w:r>
          </w:p>
          <w:p w:rsidR="00000000" w:rsidDel="00000000" w:rsidP="00000000" w:rsidRDefault="00000000" w:rsidRPr="00000000" w14:paraId="0000004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khác thuộc đối tượng tính thuế GTGT theo phương pháp khấu trừ với mức thuế suất thuế GTGT 10%;</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3%</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1,5%</w:t>
            </w:r>
          </w:p>
        </w:tc>
      </w:tr>
      <w:tr>
        <w:trPr>
          <w:cantSplit w:val="0"/>
          <w:trHeight w:val="201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không chịu thuế GTGT, không phải khai thuế GTGT, thuộc diện chịu thuế GTGT 0% theo pháp luật về thuế GTGT;</w:t>
            </w:r>
          </w:p>
          <w:p w:rsidR="00000000" w:rsidDel="00000000" w:rsidP="00000000" w:rsidRDefault="00000000" w:rsidRPr="00000000" w14:paraId="0000004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hợp tác kinh doanh với tổ chức thuộc nhóm ngành nghề này mà tổ chức có trách nhiệm khai thuế GTGT đối với toàn bộ doanh thu của hoạt động hợp tác kinh doanh theo quy định.</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1,5%</w:t>
            </w:r>
          </w:p>
        </w:tc>
      </w:tr>
      <w:tr>
        <w:trPr>
          <w:cantSplit w:val="0"/>
          <w:trHeight w:val="495"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4.</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b w:val="1"/>
                <w:sz w:val="20"/>
                <w:szCs w:val="20"/>
                <w:highlight w:val="white"/>
              </w:rPr>
            </w:pPr>
            <w:r w:rsidDel="00000000" w:rsidR="00000000" w:rsidRPr="00000000">
              <w:rPr>
                <w:b w:val="1"/>
                <w:sz w:val="20"/>
                <w:szCs w:val="20"/>
                <w:highlight w:val="white"/>
                <w:rtl w:val="0"/>
              </w:rPr>
              <w:t xml:space="preserve">Hoạt động kinh doanh khác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sản xuất các sản phẩm thuộc đối tượng tính thuế GTGT theo phương pháp khấu trừ với mức thuế suất thuế GTGT 5%;</w:t>
            </w:r>
          </w:p>
        </w:tc>
        <w:tc>
          <w:tcPr>
            <w:vMerge w:val="restart"/>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2%</w:t>
            </w:r>
          </w:p>
        </w:tc>
        <w:tc>
          <w:tcPr>
            <w:vMerge w:val="restart"/>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20"/>
                <w:szCs w:val="20"/>
                <w:highlight w:val="white"/>
              </w:rPr>
            </w:pPr>
            <w:r w:rsidDel="00000000" w:rsidR="00000000" w:rsidRPr="00000000">
              <w:rPr>
                <w:b w:val="1"/>
                <w:sz w:val="20"/>
                <w:szCs w:val="20"/>
                <w:highlight w:val="white"/>
                <w:rtl w:val="0"/>
              </w:rPr>
              <w:t xml:space="preserve">1%</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cung cấp các dịch vụ thuộc đối tượng tính thuế GTGT theo phương pháp khấu trừ với mức thuế suất thuế GTGT 5%;</w:t>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72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20"/>
                <w:szCs w:val="20"/>
                <w:highlight w:val="white"/>
              </w:rPr>
            </w:pPr>
            <w:r w:rsidDel="00000000" w:rsidR="00000000" w:rsidRPr="00000000">
              <w:rPr>
                <w:sz w:val="20"/>
                <w:szCs w:val="20"/>
                <w:highlight w:val="white"/>
                <w:rtl w:val="0"/>
              </w:rPr>
              <w:t xml:space="preserve">- Hoạt động khác chưa được liệt kê ở các nhóm 1, 2, 3 nêu trên;</w:t>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bl>
    <w:p w:rsidR="00000000" w:rsidDel="00000000" w:rsidP="00000000" w:rsidRDefault="00000000" w:rsidRPr="00000000" w14:paraId="0000006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rFonts w:ascii="Roboto" w:cs="Roboto" w:eastAsia="Roboto" w:hAnsi="Roboto"/>
          <w:sz w:val="21"/>
          <w:szCs w:val="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