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5B61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ascii="Arial" w:hAnsi="Arial" w:cs="Arial"/>
          <w:i w:val="0"/>
          <w:iCs w:val="0"/>
          <w:caps w:val="0"/>
          <w:color w:val="000000"/>
          <w:spacing w:val="0"/>
          <w:sz w:val="18"/>
          <w:szCs w:val="18"/>
        </w:rPr>
      </w:pPr>
      <w:bookmarkStart w:id="1" w:name="_GoBack"/>
      <w:bookmarkStart w:id="0" w:name="dieu_5_1"/>
      <w:r>
        <w:rPr>
          <w:rFonts w:hint="default" w:ascii="Arial" w:hAnsi="Arial" w:cs="Arial"/>
          <w:b/>
          <w:bCs/>
          <w:i w:val="0"/>
          <w:iCs w:val="0"/>
          <w:caps w:val="0"/>
          <w:color w:val="000000"/>
          <w:spacing w:val="0"/>
          <w:sz w:val="18"/>
          <w:szCs w:val="18"/>
          <w:u w:val="none"/>
          <w:bdr w:val="none" w:color="auto" w:sz="0" w:space="0"/>
          <w:shd w:val="clear" w:fill="FFFFFF"/>
        </w:rPr>
        <w:t>Sản phẩm bánh, mứt, kẹo</w:t>
      </w:r>
      <w:bookmarkEnd w:id="0"/>
      <w:r>
        <w:rPr>
          <w:rFonts w:hint="default" w:ascii="Arial" w:hAnsi="Arial" w:cs="Arial"/>
          <w:i w:val="0"/>
          <w:iCs w:val="0"/>
          <w:caps w:val="0"/>
          <w:color w:val="000000"/>
          <w:spacing w:val="0"/>
          <w:sz w:val="18"/>
          <w:szCs w:val="18"/>
          <w:bdr w:val="none" w:color="auto" w:sz="0" w:space="0"/>
          <w:shd w:val="clear" w:fill="FFFFFF"/>
        </w:rPr>
        <w:t> </w:t>
      </w:r>
      <w:r>
        <w:rPr>
          <w:rFonts w:hint="default" w:ascii="Arial" w:hAnsi="Arial" w:cs="Arial"/>
          <w:i/>
          <w:iCs/>
          <w:caps w:val="0"/>
          <w:color w:val="000000"/>
          <w:spacing w:val="0"/>
          <w:sz w:val="18"/>
          <w:szCs w:val="18"/>
          <w:bdr w:val="none" w:color="auto" w:sz="0" w:space="0"/>
          <w:shd w:val="clear" w:fill="FFFFFF"/>
        </w:rPr>
        <w:t>(theo quy định tại mục VII phụ lục IV ban hành kèm theo Nghị định số 15/2018/NĐ-CP)</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33"/>
        <w:gridCol w:w="6913"/>
      </w:tblGrid>
      <w:tr w14:paraId="75707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single" w:color="auto" w:sz="8" w:space="0"/>
              <w:left w:val="single" w:color="auto" w:sz="8" w:space="0"/>
              <w:bottom w:val="single" w:color="auto" w:sz="8" w:space="0"/>
              <w:right w:val="single" w:color="auto" w:sz="8" w:space="0"/>
            </w:tcBorders>
            <w:shd w:val="clear" w:color="auto" w:fill="FFFFFF"/>
            <w:vAlign w:val="top"/>
          </w:tcPr>
          <w:p w14:paraId="7EF5F3F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Mã HS</w:t>
            </w:r>
          </w:p>
        </w:tc>
        <w:tc>
          <w:tcPr>
            <w:tcW w:w="4100" w:type="pct"/>
            <w:tcBorders>
              <w:top w:val="single" w:color="auto" w:sz="8" w:space="0"/>
              <w:left w:val="nil"/>
              <w:bottom w:val="single" w:color="auto" w:sz="8" w:space="0"/>
              <w:right w:val="single" w:color="auto" w:sz="8" w:space="0"/>
            </w:tcBorders>
            <w:shd w:val="clear" w:color="auto" w:fill="FFFFFF"/>
            <w:vAlign w:val="top"/>
          </w:tcPr>
          <w:p w14:paraId="6AF4F2A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Mô tả hàng hóa</w:t>
            </w:r>
          </w:p>
        </w:tc>
      </w:tr>
      <w:tr w14:paraId="312AC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0DA5DF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17.04</w:t>
            </w:r>
          </w:p>
        </w:tc>
        <w:tc>
          <w:tcPr>
            <w:tcW w:w="4100" w:type="pct"/>
            <w:tcBorders>
              <w:top w:val="nil"/>
              <w:left w:val="nil"/>
              <w:bottom w:val="single" w:color="auto" w:sz="8" w:space="0"/>
              <w:right w:val="single" w:color="auto" w:sz="8" w:space="0"/>
            </w:tcBorders>
            <w:shd w:val="clear" w:color="auto" w:fill="FFFFFF"/>
            <w:vAlign w:val="top"/>
          </w:tcPr>
          <w:p w14:paraId="15925F2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Các loại kẹo đường (kể cả sô cô la trắng), không chứa ca cao</w:t>
            </w:r>
          </w:p>
        </w:tc>
      </w:tr>
      <w:tr w14:paraId="2BB9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3D0AF8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1704.10.00</w:t>
            </w:r>
          </w:p>
        </w:tc>
        <w:tc>
          <w:tcPr>
            <w:tcW w:w="4100" w:type="pct"/>
            <w:tcBorders>
              <w:top w:val="nil"/>
              <w:left w:val="nil"/>
              <w:bottom w:val="single" w:color="auto" w:sz="8" w:space="0"/>
              <w:right w:val="single" w:color="auto" w:sz="8" w:space="0"/>
            </w:tcBorders>
            <w:shd w:val="clear" w:color="auto" w:fill="FFFFFF"/>
            <w:vAlign w:val="top"/>
          </w:tcPr>
          <w:p w14:paraId="3A19BB1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Kẹo cao su, đã hoặc chưa bọc đường</w:t>
            </w:r>
          </w:p>
        </w:tc>
      </w:tr>
      <w:tr w14:paraId="3485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1E5FED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1704.90</w:t>
            </w:r>
          </w:p>
        </w:tc>
        <w:tc>
          <w:tcPr>
            <w:tcW w:w="4100" w:type="pct"/>
            <w:tcBorders>
              <w:top w:val="nil"/>
              <w:left w:val="nil"/>
              <w:bottom w:val="single" w:color="auto" w:sz="8" w:space="0"/>
              <w:right w:val="single" w:color="auto" w:sz="8" w:space="0"/>
            </w:tcBorders>
            <w:shd w:val="clear" w:color="auto" w:fill="FFFFFF"/>
            <w:vAlign w:val="top"/>
          </w:tcPr>
          <w:p w14:paraId="29FEDC7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w:t>
            </w:r>
          </w:p>
        </w:tc>
      </w:tr>
      <w:tr w14:paraId="4C36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F1C52C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1704.90.10</w:t>
            </w:r>
          </w:p>
        </w:tc>
        <w:tc>
          <w:tcPr>
            <w:tcW w:w="4100" w:type="pct"/>
            <w:tcBorders>
              <w:top w:val="nil"/>
              <w:left w:val="nil"/>
              <w:bottom w:val="single" w:color="auto" w:sz="8" w:space="0"/>
              <w:right w:val="single" w:color="auto" w:sz="8" w:space="0"/>
            </w:tcBorders>
            <w:shd w:val="clear" w:color="auto" w:fill="FFFFFF"/>
            <w:vAlign w:val="top"/>
          </w:tcPr>
          <w:p w14:paraId="23DFB29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Kẹo và viên ngậm ho</w:t>
            </w:r>
          </w:p>
        </w:tc>
      </w:tr>
      <w:tr w14:paraId="64357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599FC7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1704.90.20</w:t>
            </w:r>
          </w:p>
        </w:tc>
        <w:tc>
          <w:tcPr>
            <w:tcW w:w="4100" w:type="pct"/>
            <w:tcBorders>
              <w:top w:val="nil"/>
              <w:left w:val="nil"/>
              <w:bottom w:val="single" w:color="auto" w:sz="8" w:space="0"/>
              <w:right w:val="single" w:color="auto" w:sz="8" w:space="0"/>
            </w:tcBorders>
            <w:shd w:val="clear" w:color="auto" w:fill="FFFFFF"/>
            <w:vAlign w:val="top"/>
          </w:tcPr>
          <w:p w14:paraId="7170CAF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Sô cô la trắng</w:t>
            </w:r>
          </w:p>
        </w:tc>
      </w:tr>
      <w:tr w14:paraId="7593C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BCEB79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3A6E5BB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6C11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A6ACE5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1704.90.91</w:t>
            </w:r>
          </w:p>
        </w:tc>
        <w:tc>
          <w:tcPr>
            <w:tcW w:w="4100" w:type="pct"/>
            <w:tcBorders>
              <w:top w:val="nil"/>
              <w:left w:val="nil"/>
              <w:bottom w:val="single" w:color="auto" w:sz="8" w:space="0"/>
              <w:right w:val="single" w:color="auto" w:sz="8" w:space="0"/>
            </w:tcBorders>
            <w:shd w:val="clear" w:color="auto" w:fill="FFFFFF"/>
            <w:vAlign w:val="top"/>
          </w:tcPr>
          <w:p w14:paraId="14A2B02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Dẻo, có chứa gelatin </w:t>
            </w:r>
            <w:r>
              <w:rPr>
                <w:rFonts w:hint="default" w:ascii="Arial" w:hAnsi="Arial" w:cs="Arial"/>
                <w:i w:val="0"/>
                <w:iCs w:val="0"/>
                <w:caps w:val="0"/>
                <w:color w:val="000000"/>
                <w:spacing w:val="0"/>
                <w:sz w:val="18"/>
                <w:szCs w:val="18"/>
                <w:bdr w:val="none" w:color="auto" w:sz="0" w:space="0"/>
                <w:vertAlign w:val="superscript"/>
              </w:rPr>
              <w:t>(SEN)</w:t>
            </w:r>
          </w:p>
        </w:tc>
      </w:tr>
      <w:tr w14:paraId="64CF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3CB8A6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1704.90.99</w:t>
            </w:r>
          </w:p>
        </w:tc>
        <w:tc>
          <w:tcPr>
            <w:tcW w:w="4100" w:type="pct"/>
            <w:tcBorders>
              <w:top w:val="nil"/>
              <w:left w:val="nil"/>
              <w:bottom w:val="single" w:color="auto" w:sz="8" w:space="0"/>
              <w:right w:val="single" w:color="auto" w:sz="8" w:space="0"/>
            </w:tcBorders>
            <w:shd w:val="clear" w:color="auto" w:fill="FFFFFF"/>
            <w:vAlign w:val="top"/>
          </w:tcPr>
          <w:p w14:paraId="5B08086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47D7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27267C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18.06</w:t>
            </w:r>
          </w:p>
        </w:tc>
        <w:tc>
          <w:tcPr>
            <w:tcW w:w="4100" w:type="pct"/>
            <w:tcBorders>
              <w:top w:val="nil"/>
              <w:left w:val="nil"/>
              <w:bottom w:val="single" w:color="auto" w:sz="8" w:space="0"/>
              <w:right w:val="single" w:color="auto" w:sz="8" w:space="0"/>
            </w:tcBorders>
            <w:shd w:val="clear" w:color="auto" w:fill="FFFFFF"/>
            <w:vAlign w:val="top"/>
          </w:tcPr>
          <w:p w14:paraId="4BA0D44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Sô cô la và các chế phẩm thực phẩm khác có chứa ca cao.</w:t>
            </w:r>
          </w:p>
        </w:tc>
      </w:tr>
      <w:tr w14:paraId="56B1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F9C68D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1806.20</w:t>
            </w:r>
          </w:p>
        </w:tc>
        <w:tc>
          <w:tcPr>
            <w:tcW w:w="4100" w:type="pct"/>
            <w:tcBorders>
              <w:top w:val="nil"/>
              <w:left w:val="nil"/>
              <w:bottom w:val="single" w:color="auto" w:sz="8" w:space="0"/>
              <w:right w:val="single" w:color="auto" w:sz="8" w:space="0"/>
            </w:tcBorders>
            <w:shd w:val="clear" w:color="auto" w:fill="FFFFFF"/>
            <w:vAlign w:val="top"/>
          </w:tcPr>
          <w:p w14:paraId="6E667B8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Chế phẩm khác ở dạng khối, miếng hoặc thanh có khối lượng trên 2 kg hoặc ở dạng lỏng, dạng nhão, bột mịn, dạng hạt hoặc dạng rời khác đóng trong bao bì hoặc gói sẵn, khối lượng trên 2 kg:</w:t>
            </w:r>
          </w:p>
        </w:tc>
      </w:tr>
      <w:tr w14:paraId="0FFE9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3EBF17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1806.20.10</w:t>
            </w:r>
          </w:p>
        </w:tc>
        <w:tc>
          <w:tcPr>
            <w:tcW w:w="4100" w:type="pct"/>
            <w:tcBorders>
              <w:top w:val="nil"/>
              <w:left w:val="nil"/>
              <w:bottom w:val="single" w:color="auto" w:sz="8" w:space="0"/>
              <w:right w:val="single" w:color="auto" w:sz="8" w:space="0"/>
            </w:tcBorders>
            <w:shd w:val="clear" w:color="auto" w:fill="FFFFFF"/>
            <w:vAlign w:val="top"/>
          </w:tcPr>
          <w:p w14:paraId="7D0C4DE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Kẹo sô cô la ở dạng khối, miếng hoặc thanh</w:t>
            </w:r>
          </w:p>
        </w:tc>
      </w:tr>
      <w:tr w14:paraId="71746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ADA98E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1806.20.90</w:t>
            </w:r>
          </w:p>
        </w:tc>
        <w:tc>
          <w:tcPr>
            <w:tcW w:w="4100" w:type="pct"/>
            <w:tcBorders>
              <w:top w:val="nil"/>
              <w:left w:val="nil"/>
              <w:bottom w:val="single" w:color="auto" w:sz="8" w:space="0"/>
              <w:right w:val="single" w:color="auto" w:sz="8" w:space="0"/>
            </w:tcBorders>
            <w:shd w:val="clear" w:color="auto" w:fill="FFFFFF"/>
            <w:vAlign w:val="top"/>
          </w:tcPr>
          <w:p w14:paraId="54E7D0F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5058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0FE4B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0084FD7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 ở dạng khối, miếng hoặc thanh:</w:t>
            </w:r>
          </w:p>
        </w:tc>
      </w:tr>
      <w:tr w14:paraId="2F57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117D73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1806.31.00</w:t>
            </w:r>
          </w:p>
        </w:tc>
        <w:tc>
          <w:tcPr>
            <w:tcW w:w="4100" w:type="pct"/>
            <w:tcBorders>
              <w:top w:val="nil"/>
              <w:left w:val="nil"/>
              <w:bottom w:val="single" w:color="auto" w:sz="8" w:space="0"/>
              <w:right w:val="single" w:color="auto" w:sz="8" w:space="0"/>
            </w:tcBorders>
            <w:shd w:val="clear" w:color="auto" w:fill="FFFFFF"/>
            <w:vAlign w:val="top"/>
          </w:tcPr>
          <w:p w14:paraId="30217AC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Có nhân</w:t>
            </w:r>
          </w:p>
        </w:tc>
      </w:tr>
      <w:tr w14:paraId="3D345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FD66EA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1806.32.00</w:t>
            </w:r>
          </w:p>
        </w:tc>
        <w:tc>
          <w:tcPr>
            <w:tcW w:w="4100" w:type="pct"/>
            <w:tcBorders>
              <w:top w:val="nil"/>
              <w:left w:val="nil"/>
              <w:bottom w:val="single" w:color="auto" w:sz="8" w:space="0"/>
              <w:right w:val="single" w:color="auto" w:sz="8" w:space="0"/>
            </w:tcBorders>
            <w:shd w:val="clear" w:color="auto" w:fill="FFFFFF"/>
            <w:vAlign w:val="top"/>
          </w:tcPr>
          <w:p w14:paraId="661A347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Không có nhân</w:t>
            </w:r>
          </w:p>
        </w:tc>
      </w:tr>
      <w:tr w14:paraId="75AF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5ED567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1806.90</w:t>
            </w:r>
          </w:p>
        </w:tc>
        <w:tc>
          <w:tcPr>
            <w:tcW w:w="4100" w:type="pct"/>
            <w:tcBorders>
              <w:top w:val="nil"/>
              <w:left w:val="nil"/>
              <w:bottom w:val="single" w:color="auto" w:sz="8" w:space="0"/>
              <w:right w:val="single" w:color="auto" w:sz="8" w:space="0"/>
            </w:tcBorders>
            <w:shd w:val="clear" w:color="auto" w:fill="FFFFFF"/>
            <w:vAlign w:val="top"/>
          </w:tcPr>
          <w:p w14:paraId="15E3835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w:t>
            </w:r>
          </w:p>
        </w:tc>
      </w:tr>
      <w:tr w14:paraId="5A300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136622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1806.90.10</w:t>
            </w:r>
          </w:p>
        </w:tc>
        <w:tc>
          <w:tcPr>
            <w:tcW w:w="4100" w:type="pct"/>
            <w:tcBorders>
              <w:top w:val="nil"/>
              <w:left w:val="nil"/>
              <w:bottom w:val="single" w:color="auto" w:sz="8" w:space="0"/>
              <w:right w:val="single" w:color="auto" w:sz="8" w:space="0"/>
            </w:tcBorders>
            <w:shd w:val="clear" w:color="auto" w:fill="FFFFFF"/>
            <w:vAlign w:val="top"/>
          </w:tcPr>
          <w:p w14:paraId="193F444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Kẹo sô cô la ở dạng viên (tablets) hoặc viên ngậm (pastilles)</w:t>
            </w:r>
          </w:p>
        </w:tc>
      </w:tr>
      <w:tr w14:paraId="3249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AF46F7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1806.90.90</w:t>
            </w:r>
          </w:p>
        </w:tc>
        <w:tc>
          <w:tcPr>
            <w:tcW w:w="4100" w:type="pct"/>
            <w:tcBorders>
              <w:top w:val="nil"/>
              <w:left w:val="nil"/>
              <w:bottom w:val="single" w:color="auto" w:sz="8" w:space="0"/>
              <w:right w:val="single" w:color="auto" w:sz="8" w:space="0"/>
            </w:tcBorders>
            <w:shd w:val="clear" w:color="auto" w:fill="FFFFFF"/>
            <w:vAlign w:val="top"/>
          </w:tcPr>
          <w:p w14:paraId="6E52AA2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111C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0406C4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19.05</w:t>
            </w:r>
          </w:p>
        </w:tc>
        <w:tc>
          <w:tcPr>
            <w:tcW w:w="4100" w:type="pct"/>
            <w:tcBorders>
              <w:top w:val="nil"/>
              <w:left w:val="nil"/>
              <w:bottom w:val="single" w:color="auto" w:sz="8" w:space="0"/>
              <w:right w:val="single" w:color="auto" w:sz="8" w:space="0"/>
            </w:tcBorders>
            <w:shd w:val="clear" w:color="auto" w:fill="FFFFFF"/>
            <w:vAlign w:val="top"/>
          </w:tcPr>
          <w:p w14:paraId="50F7C26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Bánh mì, bánh bột nhào (pastry), bánh ga tô (cakes), bánh quy và các loại bánh khác, có hoặc không chứa ca cao; bánh thánh, vỏ viên nhộng dùng trong ngành dược, bánh xốp sealing wafers, bánh đa và các sản phẩm tương tự.</w:t>
            </w:r>
          </w:p>
        </w:tc>
      </w:tr>
      <w:tr w14:paraId="1F003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EF4A10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1905.10.00</w:t>
            </w:r>
          </w:p>
        </w:tc>
        <w:tc>
          <w:tcPr>
            <w:tcW w:w="4100" w:type="pct"/>
            <w:tcBorders>
              <w:top w:val="nil"/>
              <w:left w:val="nil"/>
              <w:bottom w:val="single" w:color="auto" w:sz="8" w:space="0"/>
              <w:right w:val="single" w:color="auto" w:sz="8" w:space="0"/>
            </w:tcBorders>
            <w:shd w:val="clear" w:color="auto" w:fill="FFFFFF"/>
            <w:vAlign w:val="top"/>
          </w:tcPr>
          <w:p w14:paraId="16FC770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Bánh mì giòn</w:t>
            </w:r>
          </w:p>
        </w:tc>
      </w:tr>
      <w:tr w14:paraId="3E015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AACCA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1905.20.00</w:t>
            </w:r>
          </w:p>
        </w:tc>
        <w:tc>
          <w:tcPr>
            <w:tcW w:w="4100" w:type="pct"/>
            <w:tcBorders>
              <w:top w:val="nil"/>
              <w:left w:val="nil"/>
              <w:bottom w:val="single" w:color="auto" w:sz="8" w:space="0"/>
              <w:right w:val="single" w:color="auto" w:sz="8" w:space="0"/>
            </w:tcBorders>
            <w:shd w:val="clear" w:color="auto" w:fill="FFFFFF"/>
            <w:vAlign w:val="top"/>
          </w:tcPr>
          <w:p w14:paraId="092D9F1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Bánh mì có gừng và loại tương tự</w:t>
            </w:r>
          </w:p>
        </w:tc>
      </w:tr>
      <w:tr w14:paraId="1489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A30683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533390B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Bánh quy ngọt; bánh waffles và bánh xốp wafers:</w:t>
            </w:r>
          </w:p>
        </w:tc>
      </w:tr>
      <w:tr w14:paraId="4626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5AFC3F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1905.31</w:t>
            </w:r>
          </w:p>
        </w:tc>
        <w:tc>
          <w:tcPr>
            <w:tcW w:w="4100" w:type="pct"/>
            <w:tcBorders>
              <w:top w:val="nil"/>
              <w:left w:val="nil"/>
              <w:bottom w:val="single" w:color="auto" w:sz="8" w:space="0"/>
              <w:right w:val="single" w:color="auto" w:sz="8" w:space="0"/>
            </w:tcBorders>
            <w:shd w:val="clear" w:color="auto" w:fill="FFFFFF"/>
            <w:vAlign w:val="top"/>
          </w:tcPr>
          <w:p w14:paraId="174BA7D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quy ngọt:</w:t>
            </w:r>
          </w:p>
        </w:tc>
      </w:tr>
      <w:tr w14:paraId="685C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ADCDA2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1905.31.10</w:t>
            </w:r>
          </w:p>
        </w:tc>
        <w:tc>
          <w:tcPr>
            <w:tcW w:w="4100" w:type="pct"/>
            <w:tcBorders>
              <w:top w:val="nil"/>
              <w:left w:val="nil"/>
              <w:bottom w:val="single" w:color="auto" w:sz="8" w:space="0"/>
              <w:right w:val="single" w:color="auto" w:sz="8" w:space="0"/>
            </w:tcBorders>
            <w:shd w:val="clear" w:color="auto" w:fill="FFFFFF"/>
            <w:vAlign w:val="top"/>
          </w:tcPr>
          <w:p w14:paraId="5BA8D6F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Không chứa ca cao</w:t>
            </w:r>
          </w:p>
        </w:tc>
      </w:tr>
      <w:tr w14:paraId="0078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E98A30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1905.31.20</w:t>
            </w:r>
          </w:p>
        </w:tc>
        <w:tc>
          <w:tcPr>
            <w:tcW w:w="4100" w:type="pct"/>
            <w:tcBorders>
              <w:top w:val="nil"/>
              <w:left w:val="nil"/>
              <w:bottom w:val="single" w:color="auto" w:sz="8" w:space="0"/>
              <w:right w:val="single" w:color="auto" w:sz="8" w:space="0"/>
            </w:tcBorders>
            <w:shd w:val="clear" w:color="auto" w:fill="FFFFFF"/>
            <w:vAlign w:val="top"/>
          </w:tcPr>
          <w:p w14:paraId="0CC23FE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Chứa ca cao</w:t>
            </w:r>
          </w:p>
        </w:tc>
      </w:tr>
      <w:tr w14:paraId="7644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6ECEF6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1905.32</w:t>
            </w:r>
          </w:p>
        </w:tc>
        <w:tc>
          <w:tcPr>
            <w:tcW w:w="4100" w:type="pct"/>
            <w:tcBorders>
              <w:top w:val="nil"/>
              <w:left w:val="nil"/>
              <w:bottom w:val="single" w:color="auto" w:sz="8" w:space="0"/>
              <w:right w:val="single" w:color="auto" w:sz="8" w:space="0"/>
            </w:tcBorders>
            <w:shd w:val="clear" w:color="auto" w:fill="FFFFFF"/>
            <w:vAlign w:val="top"/>
          </w:tcPr>
          <w:p w14:paraId="47D4A12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waffles và bánh xốp wafers:</w:t>
            </w:r>
          </w:p>
        </w:tc>
      </w:tr>
      <w:tr w14:paraId="5D68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48B4B6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1905.32.10</w:t>
            </w:r>
          </w:p>
        </w:tc>
        <w:tc>
          <w:tcPr>
            <w:tcW w:w="4100" w:type="pct"/>
            <w:tcBorders>
              <w:top w:val="nil"/>
              <w:left w:val="nil"/>
              <w:bottom w:val="single" w:color="auto" w:sz="8" w:space="0"/>
              <w:right w:val="single" w:color="auto" w:sz="8" w:space="0"/>
            </w:tcBorders>
            <w:shd w:val="clear" w:color="auto" w:fill="FFFFFF"/>
            <w:vAlign w:val="top"/>
          </w:tcPr>
          <w:p w14:paraId="3772771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Bánh waffles </w:t>
            </w:r>
            <w:r>
              <w:rPr>
                <w:rFonts w:hint="default" w:ascii="Arial" w:hAnsi="Arial" w:cs="Arial"/>
                <w:i w:val="0"/>
                <w:iCs w:val="0"/>
                <w:caps w:val="0"/>
                <w:color w:val="000000"/>
                <w:spacing w:val="0"/>
                <w:sz w:val="18"/>
                <w:szCs w:val="18"/>
                <w:bdr w:val="none" w:color="auto" w:sz="0" w:space="0"/>
                <w:vertAlign w:val="superscript"/>
              </w:rPr>
              <w:t>(SEN)</w:t>
            </w:r>
          </w:p>
        </w:tc>
      </w:tr>
      <w:tr w14:paraId="6686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29BEBC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1905.32.20</w:t>
            </w:r>
          </w:p>
        </w:tc>
        <w:tc>
          <w:tcPr>
            <w:tcW w:w="4100" w:type="pct"/>
            <w:tcBorders>
              <w:top w:val="nil"/>
              <w:left w:val="nil"/>
              <w:bottom w:val="single" w:color="auto" w:sz="8" w:space="0"/>
              <w:right w:val="single" w:color="auto" w:sz="8" w:space="0"/>
            </w:tcBorders>
            <w:shd w:val="clear" w:color="auto" w:fill="FFFFFF"/>
            <w:vAlign w:val="top"/>
          </w:tcPr>
          <w:p w14:paraId="14E547D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Bánh xốp </w:t>
            </w:r>
            <w:r>
              <w:rPr>
                <w:rFonts w:hint="default" w:ascii="Arial" w:hAnsi="Arial" w:cs="Arial"/>
                <w:i w:val="0"/>
                <w:iCs w:val="0"/>
                <w:caps w:val="0"/>
                <w:color w:val="000000"/>
                <w:spacing w:val="0"/>
                <w:sz w:val="18"/>
                <w:szCs w:val="18"/>
                <w:bdr w:val="none" w:color="auto" w:sz="0" w:space="0"/>
                <w:vertAlign w:val="superscript"/>
              </w:rPr>
              <w:t>(SEN)</w:t>
            </w:r>
          </w:p>
        </w:tc>
      </w:tr>
      <w:tr w14:paraId="5B40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6D1DC7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1905.40</w:t>
            </w:r>
          </w:p>
        </w:tc>
        <w:tc>
          <w:tcPr>
            <w:tcW w:w="4100" w:type="pct"/>
            <w:tcBorders>
              <w:top w:val="nil"/>
              <w:left w:val="nil"/>
              <w:bottom w:val="single" w:color="auto" w:sz="8" w:space="0"/>
              <w:right w:val="single" w:color="auto" w:sz="8" w:space="0"/>
            </w:tcBorders>
            <w:shd w:val="clear" w:color="auto" w:fill="FFFFFF"/>
            <w:vAlign w:val="top"/>
          </w:tcPr>
          <w:p w14:paraId="6BD5A86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Bánh bít cốt (rusks), bánh mì nướng và các loại bánh nướng tương tự:</w:t>
            </w:r>
          </w:p>
        </w:tc>
      </w:tr>
      <w:tr w14:paraId="463C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F03173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1905.40.10</w:t>
            </w:r>
          </w:p>
        </w:tc>
        <w:tc>
          <w:tcPr>
            <w:tcW w:w="4100" w:type="pct"/>
            <w:tcBorders>
              <w:top w:val="nil"/>
              <w:left w:val="nil"/>
              <w:bottom w:val="single" w:color="auto" w:sz="8" w:space="0"/>
              <w:right w:val="single" w:color="auto" w:sz="8" w:space="0"/>
            </w:tcBorders>
            <w:shd w:val="clear" w:color="auto" w:fill="FFFFFF"/>
            <w:vAlign w:val="top"/>
          </w:tcPr>
          <w:p w14:paraId="246AAC6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Chưa thêm đường, mật ong, trứng, chất béo, pho mát hoặc trái cây</w:t>
            </w:r>
          </w:p>
        </w:tc>
      </w:tr>
      <w:tr w14:paraId="695E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4E99EF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1905.40.90</w:t>
            </w:r>
          </w:p>
        </w:tc>
        <w:tc>
          <w:tcPr>
            <w:tcW w:w="4100" w:type="pct"/>
            <w:tcBorders>
              <w:top w:val="nil"/>
              <w:left w:val="nil"/>
              <w:bottom w:val="single" w:color="auto" w:sz="8" w:space="0"/>
              <w:right w:val="single" w:color="auto" w:sz="8" w:space="0"/>
            </w:tcBorders>
            <w:shd w:val="clear" w:color="auto" w:fill="FFFFFF"/>
            <w:vAlign w:val="top"/>
          </w:tcPr>
          <w:p w14:paraId="1878961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0407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63EABF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w:t>
            </w:r>
          </w:p>
        </w:tc>
        <w:tc>
          <w:tcPr>
            <w:tcW w:w="4100" w:type="pct"/>
            <w:tcBorders>
              <w:top w:val="nil"/>
              <w:left w:val="nil"/>
              <w:bottom w:val="single" w:color="auto" w:sz="8" w:space="0"/>
              <w:right w:val="single" w:color="auto" w:sz="8" w:space="0"/>
            </w:tcBorders>
            <w:shd w:val="clear" w:color="auto" w:fill="FFFFFF"/>
            <w:vAlign w:val="top"/>
          </w:tcPr>
          <w:p w14:paraId="072DB32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w:t>
            </w:r>
          </w:p>
        </w:tc>
      </w:tr>
      <w:tr w14:paraId="4F3C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BED4A2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1905.90.10</w:t>
            </w:r>
          </w:p>
        </w:tc>
        <w:tc>
          <w:tcPr>
            <w:tcW w:w="4100" w:type="pct"/>
            <w:tcBorders>
              <w:top w:val="nil"/>
              <w:left w:val="nil"/>
              <w:bottom w:val="single" w:color="auto" w:sz="8" w:space="0"/>
              <w:right w:val="single" w:color="auto" w:sz="8" w:space="0"/>
            </w:tcBorders>
            <w:shd w:val="clear" w:color="auto" w:fill="FFFFFF"/>
            <w:vAlign w:val="top"/>
          </w:tcPr>
          <w:p w14:paraId="7F5FA66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quy không ngọt dùng cho trẻ mọc răng hoặc thay răng</w:t>
            </w:r>
          </w:p>
        </w:tc>
      </w:tr>
      <w:tr w14:paraId="2B55F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7B97BD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1905.90.20</w:t>
            </w:r>
          </w:p>
        </w:tc>
        <w:tc>
          <w:tcPr>
            <w:tcW w:w="4100" w:type="pct"/>
            <w:tcBorders>
              <w:top w:val="nil"/>
              <w:left w:val="nil"/>
              <w:bottom w:val="single" w:color="auto" w:sz="8" w:space="0"/>
              <w:right w:val="single" w:color="auto" w:sz="8" w:space="0"/>
            </w:tcBorders>
            <w:shd w:val="clear" w:color="auto" w:fill="FFFFFF"/>
            <w:vAlign w:val="top"/>
          </w:tcPr>
          <w:p w14:paraId="25E51E8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quy không ngọt khác</w:t>
            </w:r>
          </w:p>
        </w:tc>
      </w:tr>
      <w:tr w14:paraId="1A376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8F9B2A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1905.90.30</w:t>
            </w:r>
          </w:p>
        </w:tc>
        <w:tc>
          <w:tcPr>
            <w:tcW w:w="4100" w:type="pct"/>
            <w:tcBorders>
              <w:top w:val="nil"/>
              <w:left w:val="nil"/>
              <w:bottom w:val="single" w:color="auto" w:sz="8" w:space="0"/>
              <w:right w:val="single" w:color="auto" w:sz="8" w:space="0"/>
            </w:tcBorders>
            <w:shd w:val="clear" w:color="auto" w:fill="FFFFFF"/>
            <w:vAlign w:val="top"/>
          </w:tcPr>
          <w:p w14:paraId="0B5F4ED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ga tô (cakes)</w:t>
            </w:r>
          </w:p>
        </w:tc>
      </w:tr>
      <w:tr w14:paraId="30B5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AEBBB1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1905.90.40</w:t>
            </w:r>
          </w:p>
        </w:tc>
        <w:tc>
          <w:tcPr>
            <w:tcW w:w="4100" w:type="pct"/>
            <w:tcBorders>
              <w:top w:val="nil"/>
              <w:left w:val="nil"/>
              <w:bottom w:val="single" w:color="auto" w:sz="8" w:space="0"/>
              <w:right w:val="single" w:color="auto" w:sz="8" w:space="0"/>
            </w:tcBorders>
            <w:shd w:val="clear" w:color="auto" w:fill="FFFFFF"/>
            <w:vAlign w:val="top"/>
          </w:tcPr>
          <w:p w14:paraId="3600969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bột nhào (pastry)</w:t>
            </w:r>
          </w:p>
        </w:tc>
      </w:tr>
      <w:tr w14:paraId="02054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461360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1905.90.50</w:t>
            </w:r>
          </w:p>
        </w:tc>
        <w:tc>
          <w:tcPr>
            <w:tcW w:w="4100" w:type="pct"/>
            <w:tcBorders>
              <w:top w:val="nil"/>
              <w:left w:val="nil"/>
              <w:bottom w:val="single" w:color="auto" w:sz="8" w:space="0"/>
              <w:right w:val="single" w:color="auto" w:sz="8" w:space="0"/>
            </w:tcBorders>
            <w:shd w:val="clear" w:color="auto" w:fill="FFFFFF"/>
            <w:vAlign w:val="top"/>
          </w:tcPr>
          <w:p w14:paraId="4C52C60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Các loại bánh không bột</w:t>
            </w:r>
          </w:p>
        </w:tc>
      </w:tr>
      <w:tr w14:paraId="5C641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2ED7FA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1905.90.70</w:t>
            </w:r>
          </w:p>
        </w:tc>
        <w:tc>
          <w:tcPr>
            <w:tcW w:w="4100" w:type="pct"/>
            <w:tcBorders>
              <w:top w:val="nil"/>
              <w:left w:val="nil"/>
              <w:bottom w:val="single" w:color="auto" w:sz="8" w:space="0"/>
              <w:right w:val="single" w:color="auto" w:sz="8" w:space="0"/>
            </w:tcBorders>
            <w:shd w:val="clear" w:color="auto" w:fill="FFFFFF"/>
            <w:vAlign w:val="top"/>
          </w:tcPr>
          <w:p w14:paraId="6E35D70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Bánh thánh, bánh xốp sealing wafers, bánh đa và các sản phẩm tương tự</w:t>
            </w:r>
          </w:p>
        </w:tc>
      </w:tr>
      <w:tr w14:paraId="3083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C81F02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1905.90.80</w:t>
            </w:r>
          </w:p>
        </w:tc>
        <w:tc>
          <w:tcPr>
            <w:tcW w:w="4100" w:type="pct"/>
            <w:tcBorders>
              <w:top w:val="nil"/>
              <w:left w:val="nil"/>
              <w:bottom w:val="single" w:color="auto" w:sz="8" w:space="0"/>
              <w:right w:val="single" w:color="auto" w:sz="8" w:space="0"/>
            </w:tcBorders>
            <w:shd w:val="clear" w:color="auto" w:fill="FFFFFF"/>
            <w:vAlign w:val="top"/>
          </w:tcPr>
          <w:p w14:paraId="7F5B1E0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Các sản phẩm thực phẩm giòn có hương liệu khác</w:t>
            </w:r>
          </w:p>
        </w:tc>
      </w:tr>
      <w:tr w14:paraId="2E60C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5D695A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1905.90.90</w:t>
            </w:r>
          </w:p>
        </w:tc>
        <w:tc>
          <w:tcPr>
            <w:tcW w:w="4100" w:type="pct"/>
            <w:tcBorders>
              <w:top w:val="nil"/>
              <w:left w:val="nil"/>
              <w:bottom w:val="single" w:color="auto" w:sz="8" w:space="0"/>
              <w:right w:val="single" w:color="auto" w:sz="8" w:space="0"/>
            </w:tcBorders>
            <w:shd w:val="clear" w:color="auto" w:fill="FFFFFF"/>
            <w:vAlign w:val="top"/>
          </w:tcPr>
          <w:p w14:paraId="3D94141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23AA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3E3DCB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2006.00.00</w:t>
            </w:r>
          </w:p>
        </w:tc>
        <w:tc>
          <w:tcPr>
            <w:tcW w:w="4100" w:type="pct"/>
            <w:tcBorders>
              <w:top w:val="nil"/>
              <w:left w:val="nil"/>
              <w:bottom w:val="single" w:color="auto" w:sz="8" w:space="0"/>
              <w:right w:val="single" w:color="auto" w:sz="8" w:space="0"/>
            </w:tcBorders>
            <w:shd w:val="clear" w:color="auto" w:fill="FFFFFF"/>
            <w:vAlign w:val="top"/>
          </w:tcPr>
          <w:p w14:paraId="237AB33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Rau, quả, quả hạch (nuts), vỏ quả và các phần khác của cây, được bảo quản bằng đường (dạng khô có tẩm đường, ngâm trong nước đường hoặc bọc đường)</w:t>
            </w:r>
          </w:p>
        </w:tc>
      </w:tr>
      <w:tr w14:paraId="504D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994095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20.07</w:t>
            </w:r>
          </w:p>
        </w:tc>
        <w:tc>
          <w:tcPr>
            <w:tcW w:w="4100" w:type="pct"/>
            <w:tcBorders>
              <w:top w:val="nil"/>
              <w:left w:val="nil"/>
              <w:bottom w:val="single" w:color="auto" w:sz="8" w:space="0"/>
              <w:right w:val="single" w:color="auto" w:sz="8" w:space="0"/>
            </w:tcBorders>
            <w:shd w:val="clear" w:color="auto" w:fill="FFFFFF"/>
            <w:vAlign w:val="top"/>
          </w:tcPr>
          <w:p w14:paraId="45B1C80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Mứt, thạch trái cây, mứt từ quả thuộc chi cam quýt, quả hoặc quả hạch (nuts) dạng nghiền (purée) và dạng nhão, thu được từ quá trình đun nấu, đã hoặc chưa pha thêm đường hoặc chất tạo ngọt khác.</w:t>
            </w:r>
          </w:p>
        </w:tc>
      </w:tr>
      <w:tr w14:paraId="1E28D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CBF8DB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2007.10.00</w:t>
            </w:r>
          </w:p>
        </w:tc>
        <w:tc>
          <w:tcPr>
            <w:tcW w:w="4100" w:type="pct"/>
            <w:tcBorders>
              <w:top w:val="nil"/>
              <w:left w:val="nil"/>
              <w:bottom w:val="single" w:color="auto" w:sz="8" w:space="0"/>
              <w:right w:val="single" w:color="auto" w:sz="8" w:space="0"/>
            </w:tcBorders>
            <w:shd w:val="clear" w:color="auto" w:fill="FFFFFF"/>
            <w:vAlign w:val="top"/>
          </w:tcPr>
          <w:p w14:paraId="43CBE18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Chế phẩm đồng nhất</w:t>
            </w:r>
          </w:p>
        </w:tc>
      </w:tr>
      <w:tr w14:paraId="3A9EF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4631DF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7D940EF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w:t>
            </w:r>
          </w:p>
        </w:tc>
      </w:tr>
      <w:tr w14:paraId="729FC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ADF375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2007.91.00</w:t>
            </w:r>
          </w:p>
        </w:tc>
        <w:tc>
          <w:tcPr>
            <w:tcW w:w="4100" w:type="pct"/>
            <w:tcBorders>
              <w:top w:val="nil"/>
              <w:left w:val="nil"/>
              <w:bottom w:val="single" w:color="auto" w:sz="8" w:space="0"/>
              <w:right w:val="single" w:color="auto" w:sz="8" w:space="0"/>
            </w:tcBorders>
            <w:shd w:val="clear" w:color="auto" w:fill="FFFFFF"/>
            <w:vAlign w:val="top"/>
          </w:tcPr>
          <w:p w14:paraId="3199229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Từ quả thuộc chi cam quýt</w:t>
            </w:r>
          </w:p>
        </w:tc>
      </w:tr>
      <w:tr w14:paraId="4520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43EF88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2007.99</w:t>
            </w:r>
          </w:p>
        </w:tc>
        <w:tc>
          <w:tcPr>
            <w:tcW w:w="4100" w:type="pct"/>
            <w:tcBorders>
              <w:top w:val="nil"/>
              <w:left w:val="nil"/>
              <w:bottom w:val="single" w:color="auto" w:sz="8" w:space="0"/>
              <w:right w:val="single" w:color="auto" w:sz="8" w:space="0"/>
            </w:tcBorders>
            <w:shd w:val="clear" w:color="auto" w:fill="FFFFFF"/>
            <w:vAlign w:val="top"/>
          </w:tcPr>
          <w:p w14:paraId="43B1A75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7529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FAFC02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2007.99.10</w:t>
            </w:r>
          </w:p>
        </w:tc>
        <w:tc>
          <w:tcPr>
            <w:tcW w:w="4100" w:type="pct"/>
            <w:tcBorders>
              <w:top w:val="nil"/>
              <w:left w:val="nil"/>
              <w:bottom w:val="single" w:color="auto" w:sz="8" w:space="0"/>
              <w:right w:val="single" w:color="auto" w:sz="8" w:space="0"/>
            </w:tcBorders>
            <w:shd w:val="clear" w:color="auto" w:fill="FFFFFF"/>
            <w:vAlign w:val="top"/>
          </w:tcPr>
          <w:p w14:paraId="14D3891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Trái cây dạng nhão, trừ xoài, dứa hoặc dâu tây dạng nhão</w:t>
            </w:r>
          </w:p>
        </w:tc>
      </w:tr>
      <w:tr w14:paraId="76C9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60FC79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2007.99.20</w:t>
            </w:r>
          </w:p>
        </w:tc>
        <w:tc>
          <w:tcPr>
            <w:tcW w:w="4100" w:type="pct"/>
            <w:tcBorders>
              <w:top w:val="nil"/>
              <w:left w:val="nil"/>
              <w:bottom w:val="single" w:color="auto" w:sz="8" w:space="0"/>
              <w:right w:val="single" w:color="auto" w:sz="8" w:space="0"/>
            </w:tcBorders>
            <w:shd w:val="clear" w:color="auto" w:fill="FFFFFF"/>
            <w:vAlign w:val="top"/>
          </w:tcPr>
          <w:p w14:paraId="54D691F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Mứt và thạch trái cây</w:t>
            </w:r>
          </w:p>
        </w:tc>
      </w:tr>
      <w:tr w14:paraId="6BFB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018541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2007.99.30</w:t>
            </w:r>
          </w:p>
        </w:tc>
        <w:tc>
          <w:tcPr>
            <w:tcW w:w="4100" w:type="pct"/>
            <w:tcBorders>
              <w:top w:val="nil"/>
              <w:left w:val="nil"/>
              <w:bottom w:val="single" w:color="auto" w:sz="8" w:space="0"/>
              <w:right w:val="single" w:color="auto" w:sz="8" w:space="0"/>
            </w:tcBorders>
            <w:shd w:val="clear" w:color="auto" w:fill="FFFFFF"/>
            <w:vAlign w:val="top"/>
          </w:tcPr>
          <w:p w14:paraId="496040C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Xoài nghiền (Mango purée) </w:t>
            </w:r>
            <w:r>
              <w:rPr>
                <w:rFonts w:hint="default" w:ascii="Arial" w:hAnsi="Arial" w:cs="Arial"/>
                <w:i w:val="0"/>
                <w:iCs w:val="0"/>
                <w:caps w:val="0"/>
                <w:color w:val="000000"/>
                <w:spacing w:val="0"/>
                <w:sz w:val="18"/>
                <w:szCs w:val="18"/>
                <w:bdr w:val="none" w:color="auto" w:sz="0" w:space="0"/>
                <w:vertAlign w:val="superscript"/>
              </w:rPr>
              <w:t>(SEN)</w:t>
            </w:r>
          </w:p>
        </w:tc>
      </w:tr>
      <w:tr w14:paraId="7E73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A86B22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2007.99.90</w:t>
            </w:r>
          </w:p>
        </w:tc>
        <w:tc>
          <w:tcPr>
            <w:tcW w:w="4100" w:type="pct"/>
            <w:tcBorders>
              <w:top w:val="nil"/>
              <w:left w:val="nil"/>
              <w:bottom w:val="single" w:color="auto" w:sz="8" w:space="0"/>
              <w:right w:val="single" w:color="auto" w:sz="8" w:space="0"/>
            </w:tcBorders>
            <w:shd w:val="clear" w:color="auto" w:fill="FFFFFF"/>
            <w:vAlign w:val="top"/>
          </w:tcPr>
          <w:p w14:paraId="014EFBF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4315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1442BB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20.08</w:t>
            </w:r>
          </w:p>
        </w:tc>
        <w:tc>
          <w:tcPr>
            <w:tcW w:w="4100" w:type="pct"/>
            <w:tcBorders>
              <w:top w:val="nil"/>
              <w:left w:val="nil"/>
              <w:bottom w:val="single" w:color="auto" w:sz="8" w:space="0"/>
              <w:right w:val="single" w:color="auto" w:sz="8" w:space="0"/>
            </w:tcBorders>
            <w:shd w:val="clear" w:color="auto" w:fill="FFFFFF"/>
            <w:vAlign w:val="top"/>
          </w:tcPr>
          <w:p w14:paraId="67EEBB5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18"/>
                <w:szCs w:val="18"/>
                <w:bdr w:val="none" w:color="auto" w:sz="0" w:space="0"/>
              </w:rPr>
              <w:t>Quả, quả hạch (nuts) và các phần ăn được khác của cây, đã chế biến hoặc bảo quản bằng cách khác, đã hoặc chưa pha thêm đường hoặc chất tạo ngọt khác hoặc rượu, chưa được chi tiết hoặc ghi ở nơi khác</w:t>
            </w:r>
          </w:p>
        </w:tc>
      </w:tr>
      <w:tr w14:paraId="3353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475552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30D0FF9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Quả hạch (nuts), lạc và hạt khác, đã hoặc chưa pha trộn với nhau:</w:t>
            </w:r>
          </w:p>
        </w:tc>
      </w:tr>
      <w:tr w14:paraId="604EA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55630A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2008.11</w:t>
            </w:r>
          </w:p>
        </w:tc>
        <w:tc>
          <w:tcPr>
            <w:tcW w:w="4100" w:type="pct"/>
            <w:tcBorders>
              <w:top w:val="nil"/>
              <w:left w:val="nil"/>
              <w:bottom w:val="single" w:color="auto" w:sz="8" w:space="0"/>
              <w:right w:val="single" w:color="auto" w:sz="8" w:space="0"/>
            </w:tcBorders>
            <w:shd w:val="clear" w:color="auto" w:fill="FFFFFF"/>
            <w:vAlign w:val="top"/>
          </w:tcPr>
          <w:p w14:paraId="46CEBEA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Lạc:</w:t>
            </w:r>
          </w:p>
        </w:tc>
      </w:tr>
      <w:tr w14:paraId="7F72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196C39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2008.11.10</w:t>
            </w:r>
          </w:p>
        </w:tc>
        <w:tc>
          <w:tcPr>
            <w:tcW w:w="4100" w:type="pct"/>
            <w:tcBorders>
              <w:top w:val="nil"/>
              <w:left w:val="nil"/>
              <w:bottom w:val="single" w:color="auto" w:sz="8" w:space="0"/>
              <w:right w:val="single" w:color="auto" w:sz="8" w:space="0"/>
            </w:tcBorders>
            <w:shd w:val="clear" w:color="auto" w:fill="FFFFFF"/>
            <w:vAlign w:val="top"/>
          </w:tcPr>
          <w:p w14:paraId="034A267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Đã rang</w:t>
            </w:r>
          </w:p>
        </w:tc>
      </w:tr>
      <w:tr w14:paraId="1CCC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F1E88A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2008.11.20</w:t>
            </w:r>
          </w:p>
        </w:tc>
        <w:tc>
          <w:tcPr>
            <w:tcW w:w="4100" w:type="pct"/>
            <w:tcBorders>
              <w:top w:val="nil"/>
              <w:left w:val="nil"/>
              <w:bottom w:val="single" w:color="auto" w:sz="8" w:space="0"/>
              <w:right w:val="single" w:color="auto" w:sz="8" w:space="0"/>
            </w:tcBorders>
            <w:shd w:val="clear" w:color="auto" w:fill="FFFFFF"/>
            <w:vAlign w:val="top"/>
          </w:tcPr>
          <w:p w14:paraId="6A62CDF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Bơ lạc</w:t>
            </w:r>
          </w:p>
        </w:tc>
      </w:tr>
      <w:tr w14:paraId="2DC0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735A49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2008.11.90</w:t>
            </w:r>
          </w:p>
        </w:tc>
        <w:tc>
          <w:tcPr>
            <w:tcW w:w="4100" w:type="pct"/>
            <w:tcBorders>
              <w:top w:val="nil"/>
              <w:left w:val="nil"/>
              <w:bottom w:val="single" w:color="auto" w:sz="8" w:space="0"/>
              <w:right w:val="single" w:color="auto" w:sz="8" w:space="0"/>
            </w:tcBorders>
            <w:shd w:val="clear" w:color="auto" w:fill="FFFFFF"/>
            <w:vAlign w:val="top"/>
          </w:tcPr>
          <w:p w14:paraId="3D9DD66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359E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54F28C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2008.19</w:t>
            </w:r>
          </w:p>
        </w:tc>
        <w:tc>
          <w:tcPr>
            <w:tcW w:w="4100" w:type="pct"/>
            <w:tcBorders>
              <w:top w:val="nil"/>
              <w:left w:val="nil"/>
              <w:bottom w:val="single" w:color="auto" w:sz="8" w:space="0"/>
              <w:right w:val="single" w:color="auto" w:sz="8" w:space="0"/>
            </w:tcBorders>
            <w:shd w:val="clear" w:color="auto" w:fill="FFFFFF"/>
            <w:vAlign w:val="top"/>
          </w:tcPr>
          <w:p w14:paraId="37861B4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 kể cả các hỗn hợp:</w:t>
            </w:r>
          </w:p>
        </w:tc>
      </w:tr>
      <w:tr w14:paraId="374F0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933B63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2008.19.10</w:t>
            </w:r>
          </w:p>
        </w:tc>
        <w:tc>
          <w:tcPr>
            <w:tcW w:w="4100" w:type="pct"/>
            <w:tcBorders>
              <w:top w:val="nil"/>
              <w:left w:val="nil"/>
              <w:bottom w:val="single" w:color="auto" w:sz="8" w:space="0"/>
              <w:right w:val="single" w:color="auto" w:sz="8" w:space="0"/>
            </w:tcBorders>
            <w:shd w:val="clear" w:color="auto" w:fill="FFFFFF"/>
            <w:vAlign w:val="top"/>
          </w:tcPr>
          <w:p w14:paraId="35E9DD6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Hạt điều</w:t>
            </w:r>
          </w:p>
        </w:tc>
      </w:tr>
      <w:tr w14:paraId="71CD6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09AF8A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2B0D676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6ADA3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9DADAA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2008.19.91</w:t>
            </w:r>
          </w:p>
        </w:tc>
        <w:tc>
          <w:tcPr>
            <w:tcW w:w="4100" w:type="pct"/>
            <w:tcBorders>
              <w:top w:val="nil"/>
              <w:left w:val="nil"/>
              <w:bottom w:val="single" w:color="auto" w:sz="8" w:space="0"/>
              <w:right w:val="single" w:color="auto" w:sz="8" w:space="0"/>
            </w:tcBorders>
            <w:shd w:val="clear" w:color="auto" w:fill="FFFFFF"/>
            <w:vAlign w:val="top"/>
          </w:tcPr>
          <w:p w14:paraId="4CB8E24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 Đã rang</w:t>
            </w:r>
          </w:p>
        </w:tc>
      </w:tr>
      <w:tr w14:paraId="0A63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BAB524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2008.19.99</w:t>
            </w:r>
          </w:p>
        </w:tc>
        <w:tc>
          <w:tcPr>
            <w:tcW w:w="4100" w:type="pct"/>
            <w:tcBorders>
              <w:top w:val="nil"/>
              <w:left w:val="nil"/>
              <w:bottom w:val="single" w:color="auto" w:sz="8" w:space="0"/>
              <w:right w:val="single" w:color="auto" w:sz="8" w:space="0"/>
            </w:tcBorders>
            <w:shd w:val="clear" w:color="auto" w:fill="FFFFFF"/>
            <w:vAlign w:val="top"/>
          </w:tcPr>
          <w:p w14:paraId="6E888C0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 Loại khác</w:t>
            </w:r>
          </w:p>
        </w:tc>
      </w:tr>
      <w:tr w14:paraId="0C584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FB7B0C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2008.20</w:t>
            </w:r>
          </w:p>
        </w:tc>
        <w:tc>
          <w:tcPr>
            <w:tcW w:w="4100" w:type="pct"/>
            <w:tcBorders>
              <w:top w:val="nil"/>
              <w:left w:val="nil"/>
              <w:bottom w:val="single" w:color="auto" w:sz="8" w:space="0"/>
              <w:right w:val="single" w:color="auto" w:sz="8" w:space="0"/>
            </w:tcBorders>
            <w:shd w:val="clear" w:color="auto" w:fill="FFFFFF"/>
            <w:vAlign w:val="top"/>
          </w:tcPr>
          <w:p w14:paraId="392FA69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Dứa:</w:t>
            </w:r>
          </w:p>
        </w:tc>
      </w:tr>
      <w:tr w14:paraId="1A54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5F4A02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2008.20.10</w:t>
            </w:r>
          </w:p>
        </w:tc>
        <w:tc>
          <w:tcPr>
            <w:tcW w:w="4100" w:type="pct"/>
            <w:tcBorders>
              <w:top w:val="nil"/>
              <w:left w:val="nil"/>
              <w:bottom w:val="single" w:color="auto" w:sz="8" w:space="0"/>
              <w:right w:val="single" w:color="auto" w:sz="8" w:space="0"/>
            </w:tcBorders>
            <w:shd w:val="clear" w:color="auto" w:fill="FFFFFF"/>
            <w:vAlign w:val="top"/>
          </w:tcPr>
          <w:p w14:paraId="78D9BFE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Đóng bao bì kín khí để bán lẻ</w:t>
            </w:r>
          </w:p>
        </w:tc>
      </w:tr>
      <w:tr w14:paraId="73D63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1C1DAA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2008.20.90</w:t>
            </w:r>
          </w:p>
        </w:tc>
        <w:tc>
          <w:tcPr>
            <w:tcW w:w="4100" w:type="pct"/>
            <w:tcBorders>
              <w:top w:val="nil"/>
              <w:left w:val="nil"/>
              <w:bottom w:val="single" w:color="auto" w:sz="8" w:space="0"/>
              <w:right w:val="single" w:color="auto" w:sz="8" w:space="0"/>
            </w:tcBorders>
            <w:shd w:val="clear" w:color="auto" w:fill="FFFFFF"/>
            <w:vAlign w:val="top"/>
          </w:tcPr>
          <w:p w14:paraId="5F98ABE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20502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4A2D10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2008.30</w:t>
            </w:r>
          </w:p>
        </w:tc>
        <w:tc>
          <w:tcPr>
            <w:tcW w:w="4100" w:type="pct"/>
            <w:tcBorders>
              <w:top w:val="nil"/>
              <w:left w:val="nil"/>
              <w:bottom w:val="single" w:color="auto" w:sz="8" w:space="0"/>
              <w:right w:val="single" w:color="auto" w:sz="8" w:space="0"/>
            </w:tcBorders>
            <w:shd w:val="clear" w:color="auto" w:fill="FFFFFF"/>
            <w:vAlign w:val="top"/>
          </w:tcPr>
          <w:p w14:paraId="7C0E178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Quả thuộc chi cam quýt:</w:t>
            </w:r>
          </w:p>
        </w:tc>
      </w:tr>
      <w:tr w14:paraId="715C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920F33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2008.30.10</w:t>
            </w:r>
          </w:p>
        </w:tc>
        <w:tc>
          <w:tcPr>
            <w:tcW w:w="4100" w:type="pct"/>
            <w:tcBorders>
              <w:top w:val="nil"/>
              <w:left w:val="nil"/>
              <w:bottom w:val="single" w:color="auto" w:sz="8" w:space="0"/>
              <w:right w:val="single" w:color="auto" w:sz="8" w:space="0"/>
            </w:tcBorders>
            <w:shd w:val="clear" w:color="auto" w:fill="FFFFFF"/>
            <w:vAlign w:val="top"/>
          </w:tcPr>
          <w:p w14:paraId="2AAABA3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Đã pha thêm đường hoặc chất tạo ngọt khác hoặc rượu</w:t>
            </w:r>
          </w:p>
        </w:tc>
      </w:tr>
      <w:tr w14:paraId="4AEEC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484461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2008.30.90</w:t>
            </w:r>
          </w:p>
        </w:tc>
        <w:tc>
          <w:tcPr>
            <w:tcW w:w="4100" w:type="pct"/>
            <w:tcBorders>
              <w:top w:val="nil"/>
              <w:left w:val="nil"/>
              <w:bottom w:val="single" w:color="auto" w:sz="8" w:space="0"/>
              <w:right w:val="single" w:color="auto" w:sz="8" w:space="0"/>
            </w:tcBorders>
            <w:shd w:val="clear" w:color="auto" w:fill="FFFFFF"/>
            <w:vAlign w:val="top"/>
          </w:tcPr>
          <w:p w14:paraId="73A293C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078E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657E7D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2008.40.00</w:t>
            </w:r>
          </w:p>
        </w:tc>
        <w:tc>
          <w:tcPr>
            <w:tcW w:w="4100" w:type="pct"/>
            <w:tcBorders>
              <w:top w:val="nil"/>
              <w:left w:val="nil"/>
              <w:bottom w:val="single" w:color="auto" w:sz="8" w:space="0"/>
              <w:right w:val="single" w:color="auto" w:sz="8" w:space="0"/>
            </w:tcBorders>
            <w:shd w:val="clear" w:color="auto" w:fill="FFFFFF"/>
            <w:vAlign w:val="top"/>
          </w:tcPr>
          <w:p w14:paraId="50B93EA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Lê</w:t>
            </w:r>
          </w:p>
        </w:tc>
      </w:tr>
      <w:tr w14:paraId="61E0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5C1B793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2008.50.00</w:t>
            </w:r>
          </w:p>
        </w:tc>
        <w:tc>
          <w:tcPr>
            <w:tcW w:w="4100" w:type="pct"/>
            <w:tcBorders>
              <w:top w:val="nil"/>
              <w:left w:val="nil"/>
              <w:bottom w:val="single" w:color="auto" w:sz="8" w:space="0"/>
              <w:right w:val="single" w:color="auto" w:sz="8" w:space="0"/>
            </w:tcBorders>
            <w:shd w:val="clear" w:color="auto" w:fill="FFFFFF"/>
            <w:vAlign w:val="top"/>
          </w:tcPr>
          <w:p w14:paraId="5600603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Mơ</w:t>
            </w:r>
          </w:p>
        </w:tc>
      </w:tr>
      <w:tr w14:paraId="2038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7B28CC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2008.60</w:t>
            </w:r>
          </w:p>
        </w:tc>
        <w:tc>
          <w:tcPr>
            <w:tcW w:w="4100" w:type="pct"/>
            <w:tcBorders>
              <w:top w:val="nil"/>
              <w:left w:val="nil"/>
              <w:bottom w:val="single" w:color="auto" w:sz="8" w:space="0"/>
              <w:right w:val="single" w:color="auto" w:sz="8" w:space="0"/>
            </w:tcBorders>
            <w:shd w:val="clear" w:color="auto" w:fill="FFFFFF"/>
            <w:vAlign w:val="top"/>
          </w:tcPr>
          <w:p w14:paraId="4C8960D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Anh đào (Cherries):</w:t>
            </w:r>
          </w:p>
        </w:tc>
      </w:tr>
      <w:tr w14:paraId="68D6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12FF21E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2008.60.10</w:t>
            </w:r>
          </w:p>
        </w:tc>
        <w:tc>
          <w:tcPr>
            <w:tcW w:w="4100" w:type="pct"/>
            <w:tcBorders>
              <w:top w:val="nil"/>
              <w:left w:val="nil"/>
              <w:bottom w:val="single" w:color="auto" w:sz="8" w:space="0"/>
              <w:right w:val="single" w:color="auto" w:sz="8" w:space="0"/>
            </w:tcBorders>
            <w:shd w:val="clear" w:color="auto" w:fill="FFFFFF"/>
            <w:vAlign w:val="top"/>
          </w:tcPr>
          <w:p w14:paraId="46A928C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Đã pha thêm đường hoặc chất tạo ngọt khác hoặc rượu</w:t>
            </w:r>
          </w:p>
        </w:tc>
      </w:tr>
      <w:tr w14:paraId="4154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07BCA5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2008.60.90</w:t>
            </w:r>
          </w:p>
        </w:tc>
        <w:tc>
          <w:tcPr>
            <w:tcW w:w="4100" w:type="pct"/>
            <w:tcBorders>
              <w:top w:val="nil"/>
              <w:left w:val="nil"/>
              <w:bottom w:val="single" w:color="auto" w:sz="8" w:space="0"/>
              <w:right w:val="single" w:color="auto" w:sz="8" w:space="0"/>
            </w:tcBorders>
            <w:shd w:val="clear" w:color="auto" w:fill="FFFFFF"/>
            <w:vAlign w:val="top"/>
          </w:tcPr>
          <w:p w14:paraId="5231971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23A4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9D9064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2008.70</w:t>
            </w:r>
          </w:p>
        </w:tc>
        <w:tc>
          <w:tcPr>
            <w:tcW w:w="4100" w:type="pct"/>
            <w:tcBorders>
              <w:top w:val="nil"/>
              <w:left w:val="nil"/>
              <w:bottom w:val="single" w:color="auto" w:sz="8" w:space="0"/>
              <w:right w:val="single" w:color="auto" w:sz="8" w:space="0"/>
            </w:tcBorders>
            <w:shd w:val="clear" w:color="auto" w:fill="FFFFFF"/>
            <w:vAlign w:val="top"/>
          </w:tcPr>
          <w:p w14:paraId="06B4AA1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Đào, kể cả quả xuân đào:</w:t>
            </w:r>
          </w:p>
        </w:tc>
      </w:tr>
      <w:tr w14:paraId="68AE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642934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2008.70.10</w:t>
            </w:r>
          </w:p>
        </w:tc>
        <w:tc>
          <w:tcPr>
            <w:tcW w:w="4100" w:type="pct"/>
            <w:tcBorders>
              <w:top w:val="nil"/>
              <w:left w:val="nil"/>
              <w:bottom w:val="single" w:color="auto" w:sz="8" w:space="0"/>
              <w:right w:val="single" w:color="auto" w:sz="8" w:space="0"/>
            </w:tcBorders>
            <w:shd w:val="clear" w:color="auto" w:fill="FFFFFF"/>
            <w:vAlign w:val="top"/>
          </w:tcPr>
          <w:p w14:paraId="264B68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Đã pha thêm đường hoặc chất tạo ngọt khác hoặc rượu</w:t>
            </w:r>
          </w:p>
        </w:tc>
      </w:tr>
      <w:tr w14:paraId="2734B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4AF7D9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2008.70.90</w:t>
            </w:r>
          </w:p>
        </w:tc>
        <w:tc>
          <w:tcPr>
            <w:tcW w:w="4100" w:type="pct"/>
            <w:tcBorders>
              <w:top w:val="nil"/>
              <w:left w:val="nil"/>
              <w:bottom w:val="single" w:color="auto" w:sz="8" w:space="0"/>
              <w:right w:val="single" w:color="auto" w:sz="8" w:space="0"/>
            </w:tcBorders>
            <w:shd w:val="clear" w:color="auto" w:fill="FFFFFF"/>
            <w:vAlign w:val="top"/>
          </w:tcPr>
          <w:p w14:paraId="690373B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283C2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0E63BC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2008.80.00</w:t>
            </w:r>
          </w:p>
        </w:tc>
        <w:tc>
          <w:tcPr>
            <w:tcW w:w="4100" w:type="pct"/>
            <w:tcBorders>
              <w:top w:val="nil"/>
              <w:left w:val="nil"/>
              <w:bottom w:val="single" w:color="auto" w:sz="8" w:space="0"/>
              <w:right w:val="single" w:color="auto" w:sz="8" w:space="0"/>
            </w:tcBorders>
            <w:shd w:val="clear" w:color="auto" w:fill="FFFFFF"/>
            <w:vAlign w:val="top"/>
          </w:tcPr>
          <w:p w14:paraId="5D8A82E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Dâu tây</w:t>
            </w:r>
          </w:p>
        </w:tc>
      </w:tr>
      <w:tr w14:paraId="731AB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C053DD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4100" w:type="pct"/>
            <w:tcBorders>
              <w:top w:val="nil"/>
              <w:left w:val="nil"/>
              <w:bottom w:val="single" w:color="auto" w:sz="8" w:space="0"/>
              <w:right w:val="single" w:color="auto" w:sz="8" w:space="0"/>
            </w:tcBorders>
            <w:shd w:val="clear" w:color="auto" w:fill="FFFFFF"/>
            <w:vAlign w:val="top"/>
          </w:tcPr>
          <w:p w14:paraId="19E40A8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Loại khác, kể cả dạng hỗn hợp trừ loại thuộc phân nhóm 2008.19:</w:t>
            </w:r>
          </w:p>
        </w:tc>
      </w:tr>
      <w:tr w14:paraId="1F46B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EC57AE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2008.91.00</w:t>
            </w:r>
          </w:p>
        </w:tc>
        <w:tc>
          <w:tcPr>
            <w:tcW w:w="4100" w:type="pct"/>
            <w:tcBorders>
              <w:top w:val="nil"/>
              <w:left w:val="nil"/>
              <w:bottom w:val="single" w:color="auto" w:sz="8" w:space="0"/>
              <w:right w:val="single" w:color="auto" w:sz="8" w:space="0"/>
            </w:tcBorders>
            <w:shd w:val="clear" w:color="auto" w:fill="FFFFFF"/>
            <w:vAlign w:val="top"/>
          </w:tcPr>
          <w:p w14:paraId="3251329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Lõi cây cọ</w:t>
            </w:r>
          </w:p>
        </w:tc>
      </w:tr>
      <w:tr w14:paraId="1B1C5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7674A3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2008.93</w:t>
            </w:r>
          </w:p>
        </w:tc>
        <w:tc>
          <w:tcPr>
            <w:tcW w:w="4100" w:type="pct"/>
            <w:tcBorders>
              <w:top w:val="nil"/>
              <w:left w:val="nil"/>
              <w:bottom w:val="single" w:color="auto" w:sz="8" w:space="0"/>
              <w:right w:val="single" w:color="auto" w:sz="8" w:space="0"/>
            </w:tcBorders>
            <w:shd w:val="clear" w:color="auto" w:fill="FFFFFF"/>
            <w:vAlign w:val="top"/>
          </w:tcPr>
          <w:p w14:paraId="3DF5CDC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Quả nam việt quất (</w:t>
            </w:r>
            <w:r>
              <w:rPr>
                <w:rFonts w:hint="default" w:ascii="Arial" w:hAnsi="Arial" w:cs="Arial"/>
                <w:i/>
                <w:iCs/>
                <w:caps w:val="0"/>
                <w:color w:val="000000"/>
                <w:spacing w:val="0"/>
                <w:sz w:val="18"/>
                <w:szCs w:val="18"/>
                <w:bdr w:val="none" w:color="auto" w:sz="0" w:space="0"/>
              </w:rPr>
              <w:t>Vaccinium macrocarpon</w:t>
            </w:r>
            <w:r>
              <w:rPr>
                <w:rFonts w:hint="default" w:ascii="Arial" w:hAnsi="Arial" w:cs="Arial"/>
                <w:i w:val="0"/>
                <w:iCs w:val="0"/>
                <w:caps w:val="0"/>
                <w:color w:val="000000"/>
                <w:spacing w:val="0"/>
                <w:sz w:val="18"/>
                <w:szCs w:val="18"/>
                <w:bdr w:val="none" w:color="auto" w:sz="0" w:space="0"/>
              </w:rPr>
              <w:t>, </w:t>
            </w:r>
            <w:r>
              <w:rPr>
                <w:rFonts w:hint="default" w:ascii="Arial" w:hAnsi="Arial" w:cs="Arial"/>
                <w:i/>
                <w:iCs/>
                <w:caps w:val="0"/>
                <w:color w:val="000000"/>
                <w:spacing w:val="0"/>
                <w:sz w:val="18"/>
                <w:szCs w:val="18"/>
                <w:bdr w:val="none" w:color="auto" w:sz="0" w:space="0"/>
              </w:rPr>
              <w:t>Vaccinium oxycoccos</w:t>
            </w:r>
            <w:r>
              <w:rPr>
                <w:rFonts w:hint="default" w:ascii="Arial" w:hAnsi="Arial" w:cs="Arial"/>
                <w:i w:val="0"/>
                <w:iCs w:val="0"/>
                <w:caps w:val="0"/>
                <w:color w:val="000000"/>
                <w:spacing w:val="0"/>
                <w:sz w:val="18"/>
                <w:szCs w:val="18"/>
                <w:bdr w:val="none" w:color="auto" w:sz="0" w:space="0"/>
              </w:rPr>
              <w:t>); quả lingonberries (</w:t>
            </w:r>
            <w:r>
              <w:rPr>
                <w:rFonts w:hint="default" w:ascii="Arial" w:hAnsi="Arial" w:cs="Arial"/>
                <w:i/>
                <w:iCs/>
                <w:caps w:val="0"/>
                <w:color w:val="000000"/>
                <w:spacing w:val="0"/>
                <w:sz w:val="18"/>
                <w:szCs w:val="18"/>
                <w:bdr w:val="none" w:color="auto" w:sz="0" w:space="0"/>
              </w:rPr>
              <w:t>Vaccinium Vitis-idaea</w:t>
            </w:r>
            <w:r>
              <w:rPr>
                <w:rFonts w:hint="default" w:ascii="Arial" w:hAnsi="Arial" w:cs="Arial"/>
                <w:i w:val="0"/>
                <w:iCs w:val="0"/>
                <w:caps w:val="0"/>
                <w:color w:val="000000"/>
                <w:spacing w:val="0"/>
                <w:sz w:val="18"/>
                <w:szCs w:val="18"/>
                <w:bdr w:val="none" w:color="auto" w:sz="0" w:space="0"/>
              </w:rPr>
              <w:t>):</w:t>
            </w:r>
          </w:p>
        </w:tc>
      </w:tr>
      <w:tr w14:paraId="55589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CD9C68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2008.93.10</w:t>
            </w:r>
          </w:p>
        </w:tc>
        <w:tc>
          <w:tcPr>
            <w:tcW w:w="4100" w:type="pct"/>
            <w:tcBorders>
              <w:top w:val="nil"/>
              <w:left w:val="nil"/>
              <w:bottom w:val="single" w:color="auto" w:sz="8" w:space="0"/>
              <w:right w:val="single" w:color="auto" w:sz="8" w:space="0"/>
            </w:tcBorders>
            <w:shd w:val="clear" w:color="auto" w:fill="FFFFFF"/>
            <w:vAlign w:val="top"/>
          </w:tcPr>
          <w:p w14:paraId="264D2C7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Đã pha thêm đường hoặc chất tạo ngọt khác hoặc rượu</w:t>
            </w:r>
          </w:p>
        </w:tc>
      </w:tr>
      <w:tr w14:paraId="47796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AF3BEE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2008.93.90</w:t>
            </w:r>
          </w:p>
        </w:tc>
        <w:tc>
          <w:tcPr>
            <w:tcW w:w="4100" w:type="pct"/>
            <w:tcBorders>
              <w:top w:val="nil"/>
              <w:left w:val="nil"/>
              <w:bottom w:val="single" w:color="auto" w:sz="8" w:space="0"/>
              <w:right w:val="single" w:color="auto" w:sz="8" w:space="0"/>
            </w:tcBorders>
            <w:shd w:val="clear" w:color="auto" w:fill="FFFFFF"/>
            <w:vAlign w:val="top"/>
          </w:tcPr>
          <w:p w14:paraId="2E3C3AC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45A1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B3E577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2008.97</w:t>
            </w:r>
          </w:p>
        </w:tc>
        <w:tc>
          <w:tcPr>
            <w:tcW w:w="4100" w:type="pct"/>
            <w:tcBorders>
              <w:top w:val="nil"/>
              <w:left w:val="nil"/>
              <w:bottom w:val="single" w:color="auto" w:sz="8" w:space="0"/>
              <w:right w:val="single" w:color="auto" w:sz="8" w:space="0"/>
            </w:tcBorders>
            <w:shd w:val="clear" w:color="auto" w:fill="FFFFFF"/>
            <w:vAlign w:val="top"/>
          </w:tcPr>
          <w:p w14:paraId="096E079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Dạng hỗn hợp:</w:t>
            </w:r>
          </w:p>
        </w:tc>
      </w:tr>
      <w:tr w14:paraId="34D0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4586A18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2008.97.10</w:t>
            </w:r>
          </w:p>
        </w:tc>
        <w:tc>
          <w:tcPr>
            <w:tcW w:w="4100" w:type="pct"/>
            <w:tcBorders>
              <w:top w:val="nil"/>
              <w:left w:val="nil"/>
              <w:bottom w:val="single" w:color="auto" w:sz="8" w:space="0"/>
              <w:right w:val="single" w:color="auto" w:sz="8" w:space="0"/>
            </w:tcBorders>
            <w:shd w:val="clear" w:color="auto" w:fill="FFFFFF"/>
            <w:vAlign w:val="top"/>
          </w:tcPr>
          <w:p w14:paraId="0F89847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Từ thân cây, rễ cây và các phần ăn được khác của cây, không bao gồm quả hoặc quả hạch (nuts) đã hoặc chưa pha thêm đường hoặc chất tạo ngọt khác hoặc rượu</w:t>
            </w:r>
          </w:p>
        </w:tc>
      </w:tr>
      <w:tr w14:paraId="1CC1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25EE22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2008.97.20</w:t>
            </w:r>
          </w:p>
        </w:tc>
        <w:tc>
          <w:tcPr>
            <w:tcW w:w="4100" w:type="pct"/>
            <w:tcBorders>
              <w:top w:val="nil"/>
              <w:left w:val="nil"/>
              <w:bottom w:val="single" w:color="auto" w:sz="8" w:space="0"/>
              <w:right w:val="single" w:color="auto" w:sz="8" w:space="0"/>
            </w:tcBorders>
            <w:shd w:val="clear" w:color="auto" w:fill="FFFFFF"/>
            <w:vAlign w:val="top"/>
          </w:tcPr>
          <w:p w14:paraId="08D94DA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 đã pha thêm đường hoặc chất tạo ngọt khác hoặc rượu</w:t>
            </w:r>
          </w:p>
        </w:tc>
      </w:tr>
      <w:tr w14:paraId="27A5C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6A8E53D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2008.97.90</w:t>
            </w:r>
          </w:p>
        </w:tc>
        <w:tc>
          <w:tcPr>
            <w:tcW w:w="4100" w:type="pct"/>
            <w:tcBorders>
              <w:top w:val="nil"/>
              <w:left w:val="nil"/>
              <w:bottom w:val="single" w:color="auto" w:sz="8" w:space="0"/>
              <w:right w:val="single" w:color="auto" w:sz="8" w:space="0"/>
            </w:tcBorders>
            <w:shd w:val="clear" w:color="auto" w:fill="FFFFFF"/>
            <w:vAlign w:val="top"/>
          </w:tcPr>
          <w:p w14:paraId="20F7C9D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r w14:paraId="0B04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03934F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w:t>
            </w:r>
          </w:p>
        </w:tc>
        <w:tc>
          <w:tcPr>
            <w:tcW w:w="4100" w:type="pct"/>
            <w:tcBorders>
              <w:top w:val="nil"/>
              <w:left w:val="nil"/>
              <w:bottom w:val="single" w:color="auto" w:sz="8" w:space="0"/>
              <w:right w:val="single" w:color="auto" w:sz="8" w:space="0"/>
            </w:tcBorders>
            <w:shd w:val="clear" w:color="auto" w:fill="FFFFFF"/>
            <w:vAlign w:val="top"/>
          </w:tcPr>
          <w:p w14:paraId="421BBF2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Loại khác:</w:t>
            </w:r>
          </w:p>
        </w:tc>
      </w:tr>
      <w:tr w14:paraId="0186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2688444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2008.99.10</w:t>
            </w:r>
          </w:p>
        </w:tc>
        <w:tc>
          <w:tcPr>
            <w:tcW w:w="4100" w:type="pct"/>
            <w:tcBorders>
              <w:top w:val="nil"/>
              <w:left w:val="nil"/>
              <w:bottom w:val="single" w:color="auto" w:sz="8" w:space="0"/>
              <w:right w:val="single" w:color="auto" w:sz="8" w:space="0"/>
            </w:tcBorders>
            <w:shd w:val="clear" w:color="auto" w:fill="FFFFFF"/>
            <w:vAlign w:val="top"/>
          </w:tcPr>
          <w:p w14:paraId="2FA5973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Quả vải</w:t>
            </w:r>
          </w:p>
        </w:tc>
      </w:tr>
      <w:tr w14:paraId="5FC8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E2CEEB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2008.99.20</w:t>
            </w:r>
          </w:p>
        </w:tc>
        <w:tc>
          <w:tcPr>
            <w:tcW w:w="4100" w:type="pct"/>
            <w:tcBorders>
              <w:top w:val="nil"/>
              <w:left w:val="nil"/>
              <w:bottom w:val="single" w:color="auto" w:sz="8" w:space="0"/>
              <w:right w:val="single" w:color="auto" w:sz="8" w:space="0"/>
            </w:tcBorders>
            <w:shd w:val="clear" w:color="auto" w:fill="FFFFFF"/>
            <w:vAlign w:val="top"/>
          </w:tcPr>
          <w:p w14:paraId="51A2633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Quả nhãn</w:t>
            </w:r>
          </w:p>
        </w:tc>
      </w:tr>
      <w:tr w14:paraId="0C5A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0692564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2008.99.30</w:t>
            </w:r>
          </w:p>
        </w:tc>
        <w:tc>
          <w:tcPr>
            <w:tcW w:w="4100" w:type="pct"/>
            <w:tcBorders>
              <w:top w:val="nil"/>
              <w:left w:val="nil"/>
              <w:bottom w:val="single" w:color="auto" w:sz="8" w:space="0"/>
              <w:right w:val="single" w:color="auto" w:sz="8" w:space="0"/>
            </w:tcBorders>
            <w:shd w:val="clear" w:color="auto" w:fill="FFFFFF"/>
            <w:vAlign w:val="top"/>
          </w:tcPr>
          <w:p w14:paraId="7A7FBEA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Từ thân cây, rễ cây và các phần ăn được khác của cây, không bao gồm quả hoặc quả hạch (nuts) đã hoặc chưa pha thêm đường hoặc chất tạo ngọt khác hoặc rượu</w:t>
            </w:r>
          </w:p>
        </w:tc>
      </w:tr>
      <w:tr w14:paraId="2C04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30CF7FD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2008.99.40</w:t>
            </w:r>
          </w:p>
        </w:tc>
        <w:tc>
          <w:tcPr>
            <w:tcW w:w="4100" w:type="pct"/>
            <w:tcBorders>
              <w:top w:val="nil"/>
              <w:left w:val="nil"/>
              <w:bottom w:val="single" w:color="auto" w:sz="8" w:space="0"/>
              <w:right w:val="single" w:color="auto" w:sz="8" w:space="0"/>
            </w:tcBorders>
            <w:shd w:val="clear" w:color="auto" w:fill="FFFFFF"/>
            <w:vAlign w:val="top"/>
          </w:tcPr>
          <w:p w14:paraId="66762F1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 đã pha thêm đường hoặc chất tạo ngọt khác hoặc rượu</w:t>
            </w:r>
          </w:p>
        </w:tc>
      </w:tr>
      <w:tr w14:paraId="38CDF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50" w:type="pct"/>
            <w:tcBorders>
              <w:top w:val="nil"/>
              <w:left w:val="single" w:color="auto" w:sz="8" w:space="0"/>
              <w:bottom w:val="single" w:color="auto" w:sz="8" w:space="0"/>
              <w:right w:val="single" w:color="auto" w:sz="8" w:space="0"/>
            </w:tcBorders>
            <w:shd w:val="clear" w:color="auto" w:fill="FFFFFF"/>
            <w:vAlign w:val="top"/>
          </w:tcPr>
          <w:p w14:paraId="7EDD6E3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2008.99.90</w:t>
            </w:r>
          </w:p>
        </w:tc>
        <w:tc>
          <w:tcPr>
            <w:tcW w:w="4100" w:type="pct"/>
            <w:tcBorders>
              <w:top w:val="nil"/>
              <w:left w:val="nil"/>
              <w:bottom w:val="single" w:color="auto" w:sz="8" w:space="0"/>
              <w:right w:val="single" w:color="auto" w:sz="8" w:space="0"/>
            </w:tcBorders>
            <w:shd w:val="clear" w:color="auto" w:fill="FFFFFF"/>
            <w:vAlign w:val="top"/>
          </w:tcPr>
          <w:p w14:paraId="632BF06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 - Loại khác</w:t>
            </w:r>
          </w:p>
        </w:tc>
      </w:tr>
    </w:tbl>
    <w:p w14:paraId="457532C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(SEN): Tham khảo Chú giải bổ sung (SEN) của Danh mục Thuế quan hài hòa ASEAN (AHTN) 2022.</w:t>
      </w:r>
    </w:p>
    <w:p w14:paraId="012B529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18"/>
          <w:szCs w:val="18"/>
          <w:bdr w:val="none" w:color="auto" w:sz="0" w:space="0"/>
          <w:shd w:val="clear" w:fill="FFFFFF"/>
        </w:rPr>
        <w:t>* Ghi chú:</w:t>
      </w:r>
    </w:p>
    <w:p w14:paraId="6487F2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Nguyên tắc áp dụng mã số HS tại danh mục như sau:</w:t>
      </w:r>
    </w:p>
    <w:p w14:paraId="7948B8B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Trường hợp chỉ liệt kê mã HS 4 số thì toàn bộ các mã HS 8 số thuộc nhóm HS 4 số này đều được áp dụng.</w:t>
      </w:r>
    </w:p>
    <w:p w14:paraId="32A494B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Trường hợp chỉ liệt kê mã HS 6 số thì toàn bộ các mã HS 8 số thuộc phân nhóm HS 6 số này đều được áp dụng.</w:t>
      </w:r>
    </w:p>
    <w:p w14:paraId="7858EB2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3. Trường hợp liệt kê chi tiết đến mã HS 8 số thì chỉ mã HS 8 số đó mới được áp dụng./.</w:t>
      </w:r>
    </w:p>
    <w:bookmarkEnd w:id="1"/>
    <w:p w14:paraId="0C2A2608"/>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1342CF"/>
    <w:rsid w:val="1F134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2026-06-15T04:46:00Z</dcterms:created>
  <dc:creator>My_PC</dc:creator>
  <cp:lastModifiedBy>My_PC</cp:lastModifiedBy>
  <dcterms:modified xsi:type="dcterms:W3CDTF">2026-06-15T04:47:16Z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0E4D73DDAF3F4105A549DFD1F07CDEE9_11</vt:lpwstr>
  </property>
  <property fmtid="{D5CDD505-2E9C-101B-9397-08002B2CF9AE}" pid="4" name="KSOTemplateDocerSaveRecord">
    <vt:lpwstr>eyJoZGlkIjoiOGVkM2RiYjJjYzcxMjgwYjRkY2Q2YTdiYzBlZTk3YjMifQ==</vt:lpwstr>
  </property>
</Properties>
</file>