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8D069ED">
      <w:pPr>
        <w:pStyle w:val="4"/>
        <w:keepNext w:val="0"/>
        <w:keepLines w:val="0"/>
        <w:widowControl/>
        <w:suppressLineNumbers w:val="0"/>
        <w:pBdr>
          <w:left w:val="none" w:color="auto" w:sz="0" w:space="0"/>
          <w:right w:val="none" w:color="auto" w:sz="0" w:space="0"/>
        </w:pBdr>
        <w:shd w:val="clear" w:fill="FFFFFF"/>
        <w:spacing w:before="120" w:beforeAutospacing="0" w:after="120" w:afterAutospacing="0" w:line="225" w:lineRule="atLeast"/>
        <w:ind w:left="0" w:right="0" w:firstLine="0"/>
        <w:jc w:val="center"/>
        <w:rPr>
          <w:rFonts w:hint="default" w:ascii="Times New Roman" w:hAnsi="Times New Roman" w:cs="Times New Roman"/>
          <w:i w:val="0"/>
          <w:iCs w:val="0"/>
          <w:caps w:val="0"/>
          <w:color w:val="000000"/>
          <w:spacing w:val="0"/>
          <w:sz w:val="26"/>
          <w:szCs w:val="26"/>
        </w:rPr>
      </w:pPr>
      <w:bookmarkStart w:id="0" w:name="chuong_pl_2"/>
      <w:r>
        <w:rPr>
          <w:rFonts w:hint="default" w:ascii="Times New Roman" w:hAnsi="Times New Roman" w:cs="Times New Roman"/>
          <w:b/>
          <w:bCs/>
          <w:i w:val="0"/>
          <w:iCs w:val="0"/>
          <w:caps w:val="0"/>
          <w:color w:val="000000"/>
          <w:spacing w:val="0"/>
          <w:sz w:val="26"/>
          <w:szCs w:val="26"/>
          <w:u w:val="none"/>
          <w:bdr w:val="none" w:color="auto" w:sz="0" w:space="0"/>
          <w:shd w:val="clear" w:fill="FFFFFF"/>
        </w:rPr>
        <w:br w:type="textWrapping"/>
      </w:r>
      <w:r>
        <w:rPr>
          <w:rFonts w:hint="default" w:ascii="Times New Roman" w:hAnsi="Times New Roman" w:cs="Times New Roman"/>
          <w:b/>
          <w:bCs/>
          <w:i w:val="0"/>
          <w:iCs w:val="0"/>
          <w:caps w:val="0"/>
          <w:color w:val="000000"/>
          <w:spacing w:val="0"/>
          <w:sz w:val="26"/>
          <w:szCs w:val="26"/>
          <w:u w:val="none"/>
          <w:bdr w:val="none" w:color="auto" w:sz="0" w:space="0"/>
          <w:shd w:val="clear" w:fill="FFFFFF"/>
        </w:rPr>
        <w:t>PHỤ LỤC II</w:t>
      </w:r>
      <w:bookmarkEnd w:id="0"/>
    </w:p>
    <w:p w14:paraId="14E7B8D4">
      <w:pPr>
        <w:pStyle w:val="4"/>
        <w:keepNext w:val="0"/>
        <w:keepLines w:val="0"/>
        <w:widowControl/>
        <w:suppressLineNumbers w:val="0"/>
        <w:pBdr>
          <w:left w:val="none" w:color="auto" w:sz="0" w:space="0"/>
          <w:right w:val="none" w:color="auto" w:sz="0" w:space="0"/>
        </w:pBdr>
        <w:shd w:val="clear" w:fill="FFFFFF"/>
        <w:spacing w:before="120" w:beforeAutospacing="0" w:after="120" w:afterAutospacing="0" w:line="225" w:lineRule="atLeast"/>
        <w:ind w:left="0" w:right="0" w:firstLine="0"/>
        <w:jc w:val="center"/>
        <w:rPr>
          <w:rFonts w:hint="default" w:ascii="Times New Roman" w:hAnsi="Times New Roman" w:cs="Times New Roman"/>
          <w:i w:val="0"/>
          <w:iCs w:val="0"/>
          <w:caps w:val="0"/>
          <w:color w:val="000000"/>
          <w:spacing w:val="0"/>
          <w:sz w:val="26"/>
          <w:szCs w:val="26"/>
        </w:rPr>
      </w:pPr>
      <w:bookmarkStart w:id="1" w:name="chuong_pl_2_name"/>
      <w:r>
        <w:rPr>
          <w:rFonts w:hint="default" w:ascii="Times New Roman" w:hAnsi="Times New Roman" w:cs="Times New Roman"/>
          <w:i w:val="0"/>
          <w:iCs w:val="0"/>
          <w:caps w:val="0"/>
          <w:color w:val="000000"/>
          <w:spacing w:val="0"/>
          <w:sz w:val="26"/>
          <w:szCs w:val="26"/>
          <w:u w:val="none"/>
          <w:bdr w:val="none" w:color="auto" w:sz="0" w:space="0"/>
          <w:shd w:val="clear" w:fill="FFFFFF"/>
        </w:rPr>
        <w:t>CÁCH XÁC ĐỊNH SỐ THUẾ ĐƯỢC HOÀN ĐỐI VỚI HÀNG HÓA, DỊCH VỤ XUẤT KHẨU</w:t>
      </w:r>
      <w:bookmarkEnd w:id="1"/>
      <w:r>
        <w:rPr>
          <w:rFonts w:hint="default" w:ascii="Times New Roman" w:hAnsi="Times New Roman" w:cs="Times New Roman"/>
          <w:b/>
          <w:bCs/>
          <w:i w:val="0"/>
          <w:iCs w:val="0"/>
          <w:caps w:val="0"/>
          <w:color w:val="000000"/>
          <w:spacing w:val="0"/>
          <w:sz w:val="26"/>
          <w:szCs w:val="26"/>
          <w:bdr w:val="none" w:color="auto" w:sz="0" w:space="0"/>
          <w:shd w:val="clear" w:fill="FFFFFF"/>
        </w:rPr>
        <w:br w:type="textWrapping"/>
      </w:r>
      <w:r>
        <w:rPr>
          <w:rFonts w:hint="default" w:ascii="Times New Roman" w:hAnsi="Times New Roman" w:cs="Times New Roman"/>
          <w:i/>
          <w:iCs/>
          <w:caps w:val="0"/>
          <w:color w:val="000000"/>
          <w:spacing w:val="0"/>
          <w:sz w:val="26"/>
          <w:szCs w:val="26"/>
          <w:bdr w:val="none" w:color="auto" w:sz="0" w:space="0"/>
          <w:shd w:val="clear" w:fill="FFFFFF"/>
        </w:rPr>
        <w:t>(Kèm theo Thông tư số 69/2025/TT-BTC ngày 01 tháng 7 năm 2025 của Bộ trưởng Bộ Tài chính)</w:t>
      </w:r>
      <w:bookmarkStart w:id="2" w:name="_GoBack"/>
      <w:bookmarkEnd w:id="2"/>
    </w:p>
    <w:p w14:paraId="3C8B5C51">
      <w:pPr>
        <w:pStyle w:val="4"/>
        <w:keepNext w:val="0"/>
        <w:keepLines w:val="0"/>
        <w:widowControl/>
        <w:suppressLineNumbers w:val="0"/>
        <w:pBdr>
          <w:left w:val="none" w:color="auto" w:sz="0" w:space="0"/>
          <w:right w:val="none" w:color="auto" w:sz="0" w:space="0"/>
        </w:pBdr>
        <w:shd w:val="clear" w:fill="FFFFFF"/>
        <w:spacing w:before="120" w:beforeAutospacing="0" w:after="120" w:afterAutospacing="0" w:line="225" w:lineRule="atLeast"/>
        <w:ind w:left="0" w:right="0" w:firstLine="0"/>
        <w:jc w:val="left"/>
        <w:rPr>
          <w:rFonts w:hint="default" w:ascii="Times New Roman" w:hAnsi="Times New Roman" w:cs="Times New Roman"/>
          <w:i w:val="0"/>
          <w:iCs w:val="0"/>
          <w:caps w:val="0"/>
          <w:color w:val="000000"/>
          <w:spacing w:val="0"/>
          <w:sz w:val="26"/>
          <w:szCs w:val="26"/>
        </w:rPr>
      </w:pPr>
      <w:r>
        <w:rPr>
          <w:rFonts w:hint="default" w:ascii="Times New Roman" w:hAnsi="Times New Roman" w:cs="Times New Roman"/>
          <w:i w:val="0"/>
          <w:iCs w:val="0"/>
          <w:caps w:val="0"/>
          <w:color w:val="000000"/>
          <w:spacing w:val="0"/>
          <w:sz w:val="26"/>
          <w:szCs w:val="26"/>
          <w:bdr w:val="none" w:color="auto" w:sz="0" w:space="0"/>
          <w:shd w:val="clear" w:fill="FFFFFF"/>
        </w:rPr>
        <w:t>Cách xác định số thuế giá trị gia tăng được hoàn đối với hàng hóa, dịch vụ xuất khẩu đối với trường hợp cơ sở kinh doanh trong tháng, quý vừa có hàng hóa, dịch vụ xuất khẩu, vừa có hàng hóa, dịch vụ tiêu thụ nội địa như sau:</w:t>
      </w:r>
    </w:p>
    <w:tbl>
      <w:tblPr>
        <w:tblW w:w="0" w:type="auto"/>
        <w:tblCellSpacing w:w="0"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1747"/>
        <w:gridCol w:w="347"/>
        <w:gridCol w:w="1693"/>
        <w:gridCol w:w="347"/>
        <w:gridCol w:w="287"/>
        <w:gridCol w:w="1787"/>
        <w:gridCol w:w="330"/>
        <w:gridCol w:w="1681"/>
        <w:gridCol w:w="287"/>
      </w:tblGrid>
      <w:tr w14:paraId="647BA7A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0" w:type="dxa"/>
            <w:left w:w="0" w:type="dxa"/>
            <w:bottom w:w="0" w:type="dxa"/>
            <w:right w:w="0" w:type="dxa"/>
          </w:tblCellMar>
        </w:tblPrEx>
        <w:trPr>
          <w:tblCellSpacing w:w="0" w:type="dxa"/>
        </w:trPr>
        <w:tc>
          <w:tcPr>
            <w:tcW w:w="1980" w:type="dxa"/>
            <w:vMerge w:val="restart"/>
            <w:shd w:val="clear" w:color="auto" w:fill="FFFFFF"/>
            <w:tcMar>
              <w:left w:w="100" w:type="dxa"/>
              <w:right w:w="100" w:type="dxa"/>
            </w:tcMar>
            <w:vAlign w:val="center"/>
          </w:tcPr>
          <w:p w14:paraId="5C818295">
            <w:pPr>
              <w:pStyle w:val="4"/>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center"/>
              <w:rPr>
                <w:rFonts w:hint="default" w:ascii="Times New Roman" w:hAnsi="Times New Roman" w:cs="Times New Roman"/>
                <w:sz w:val="26"/>
                <w:szCs w:val="26"/>
              </w:rPr>
            </w:pPr>
            <w:r>
              <w:rPr>
                <w:rFonts w:hint="default" w:ascii="Times New Roman" w:hAnsi="Times New Roman" w:cs="Times New Roman"/>
                <w:i w:val="0"/>
                <w:iCs w:val="0"/>
                <w:caps w:val="0"/>
                <w:color w:val="000000"/>
                <w:spacing w:val="0"/>
                <w:sz w:val="26"/>
                <w:szCs w:val="26"/>
                <w:bdr w:val="none" w:color="auto" w:sz="0" w:space="0"/>
              </w:rPr>
              <w:t>Số thuế giá trị gia tăng đầu vào được khấu trừ sử dụng cho sản xuất, kinh doanh hàng hóa, dịch vụ xuất khẩu</w:t>
            </w:r>
            <w:r>
              <w:rPr>
                <w:rFonts w:hint="default" w:ascii="Times New Roman" w:hAnsi="Times New Roman" w:cs="Times New Roman"/>
                <w:i w:val="0"/>
                <w:iCs w:val="0"/>
                <w:caps w:val="0"/>
                <w:color w:val="000000"/>
                <w:spacing w:val="0"/>
                <w:sz w:val="26"/>
                <w:szCs w:val="26"/>
                <w:bdr w:val="none" w:color="auto" w:sz="0" w:space="0"/>
                <w:lang w:val="nl"/>
              </w:rPr>
              <w:t> của kỳ hoàn thuế (1)</w:t>
            </w:r>
          </w:p>
        </w:tc>
        <w:tc>
          <w:tcPr>
            <w:tcW w:w="280" w:type="dxa"/>
            <w:vMerge w:val="restart"/>
            <w:shd w:val="clear" w:color="auto" w:fill="FFFFFF"/>
            <w:tcMar>
              <w:left w:w="100" w:type="dxa"/>
              <w:right w:w="100" w:type="dxa"/>
            </w:tcMar>
            <w:vAlign w:val="center"/>
          </w:tcPr>
          <w:p w14:paraId="7ECA1918">
            <w:pPr>
              <w:pStyle w:val="4"/>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center"/>
              <w:rPr>
                <w:rFonts w:hint="default" w:ascii="Times New Roman" w:hAnsi="Times New Roman" w:cs="Times New Roman"/>
                <w:sz w:val="26"/>
                <w:szCs w:val="26"/>
              </w:rPr>
            </w:pPr>
            <w:r>
              <w:rPr>
                <w:rFonts w:hint="default" w:ascii="Times New Roman" w:hAnsi="Times New Roman" w:cs="Times New Roman"/>
                <w:i w:val="0"/>
                <w:iCs w:val="0"/>
                <w:caps w:val="0"/>
                <w:color w:val="000000"/>
                <w:spacing w:val="0"/>
                <w:sz w:val="26"/>
                <w:szCs w:val="26"/>
                <w:bdr w:val="none" w:color="auto" w:sz="0" w:space="0"/>
              </w:rPr>
              <w:t> </w:t>
            </w:r>
          </w:p>
          <w:p w14:paraId="659AB191">
            <w:pPr>
              <w:pStyle w:val="4"/>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center"/>
              <w:rPr>
                <w:rFonts w:hint="default" w:ascii="Times New Roman" w:hAnsi="Times New Roman" w:cs="Times New Roman"/>
                <w:sz w:val="26"/>
                <w:szCs w:val="26"/>
              </w:rPr>
            </w:pPr>
            <w:r>
              <w:rPr>
                <w:rFonts w:hint="default" w:ascii="Times New Roman" w:hAnsi="Times New Roman" w:cs="Times New Roman"/>
                <w:i w:val="0"/>
                <w:iCs w:val="0"/>
                <w:caps w:val="0"/>
                <w:color w:val="000000"/>
                <w:spacing w:val="0"/>
                <w:sz w:val="26"/>
                <w:szCs w:val="26"/>
                <w:bdr w:val="none" w:color="auto" w:sz="0" w:space="0"/>
              </w:rPr>
              <w:t> </w:t>
            </w:r>
          </w:p>
          <w:p w14:paraId="741D9DD5">
            <w:pPr>
              <w:pStyle w:val="4"/>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center"/>
              <w:rPr>
                <w:rFonts w:hint="default" w:ascii="Times New Roman" w:hAnsi="Times New Roman" w:cs="Times New Roman"/>
                <w:sz w:val="26"/>
                <w:szCs w:val="26"/>
              </w:rPr>
            </w:pPr>
            <w:r>
              <w:rPr>
                <w:rFonts w:hint="default" w:ascii="Times New Roman" w:hAnsi="Times New Roman" w:cs="Times New Roman"/>
                <w:i w:val="0"/>
                <w:iCs w:val="0"/>
                <w:caps w:val="0"/>
                <w:color w:val="000000"/>
                <w:spacing w:val="0"/>
                <w:sz w:val="26"/>
                <w:szCs w:val="26"/>
                <w:bdr w:val="none" w:color="auto" w:sz="0" w:space="0"/>
              </w:rPr>
              <w:t> </w:t>
            </w:r>
          </w:p>
          <w:p w14:paraId="225DADAB">
            <w:pPr>
              <w:pStyle w:val="4"/>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center"/>
              <w:rPr>
                <w:rFonts w:hint="default" w:ascii="Times New Roman" w:hAnsi="Times New Roman" w:cs="Times New Roman"/>
                <w:sz w:val="26"/>
                <w:szCs w:val="26"/>
              </w:rPr>
            </w:pPr>
            <w:r>
              <w:rPr>
                <w:rFonts w:hint="default" w:ascii="Times New Roman" w:hAnsi="Times New Roman" w:cs="Times New Roman"/>
                <w:i w:val="0"/>
                <w:iCs w:val="0"/>
                <w:caps w:val="0"/>
                <w:color w:val="000000"/>
                <w:spacing w:val="0"/>
                <w:sz w:val="26"/>
                <w:szCs w:val="26"/>
                <w:bdr w:val="none" w:color="auto" w:sz="0" w:space="0"/>
              </w:rPr>
              <w:t> </w:t>
            </w:r>
          </w:p>
          <w:p w14:paraId="74A9943B">
            <w:pPr>
              <w:pStyle w:val="4"/>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center"/>
              <w:rPr>
                <w:rFonts w:hint="default" w:ascii="Times New Roman" w:hAnsi="Times New Roman" w:cs="Times New Roman"/>
                <w:sz w:val="26"/>
                <w:szCs w:val="26"/>
              </w:rPr>
            </w:pPr>
            <w:r>
              <w:rPr>
                <w:rFonts w:hint="default" w:ascii="Times New Roman" w:hAnsi="Times New Roman" w:cs="Times New Roman"/>
                <w:i w:val="0"/>
                <w:iCs w:val="0"/>
                <w:caps w:val="0"/>
                <w:color w:val="000000"/>
                <w:spacing w:val="0"/>
                <w:sz w:val="26"/>
                <w:szCs w:val="26"/>
                <w:bdr w:val="none" w:color="auto" w:sz="0" w:space="0"/>
              </w:rPr>
              <w:t>=</w:t>
            </w:r>
          </w:p>
        </w:tc>
        <w:tc>
          <w:tcPr>
            <w:tcW w:w="1900" w:type="dxa"/>
            <w:vMerge w:val="restart"/>
            <w:shd w:val="clear" w:color="auto" w:fill="FFFFFF"/>
            <w:tcMar>
              <w:left w:w="100" w:type="dxa"/>
              <w:right w:w="100" w:type="dxa"/>
            </w:tcMar>
            <w:vAlign w:val="center"/>
          </w:tcPr>
          <w:p w14:paraId="22024F3F">
            <w:pPr>
              <w:pStyle w:val="4"/>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center"/>
              <w:rPr>
                <w:rFonts w:hint="default" w:ascii="Times New Roman" w:hAnsi="Times New Roman" w:cs="Times New Roman"/>
                <w:sz w:val="26"/>
                <w:szCs w:val="26"/>
              </w:rPr>
            </w:pPr>
            <w:r>
              <w:rPr>
                <w:rFonts w:hint="default" w:ascii="Times New Roman" w:hAnsi="Times New Roman" w:cs="Times New Roman"/>
                <w:i w:val="0"/>
                <w:iCs w:val="0"/>
                <w:caps w:val="0"/>
                <w:color w:val="000000"/>
                <w:spacing w:val="0"/>
                <w:sz w:val="26"/>
                <w:szCs w:val="26"/>
                <w:bdr w:val="none" w:color="auto" w:sz="0" w:space="0"/>
              </w:rPr>
              <w:t>Số thuế giá trị gia tăng đầu vào được khấu trừ sử dụng cho sản xuất, kinh doanh hàng hóa, dịch vụ xuất khẩu hạch toán riêng được </w:t>
            </w:r>
            <w:r>
              <w:rPr>
                <w:rFonts w:hint="default" w:ascii="Times New Roman" w:hAnsi="Times New Roman" w:cs="Times New Roman"/>
                <w:i w:val="0"/>
                <w:iCs w:val="0"/>
                <w:caps w:val="0"/>
                <w:color w:val="000000"/>
                <w:spacing w:val="0"/>
                <w:sz w:val="26"/>
                <w:szCs w:val="26"/>
                <w:bdr w:val="none" w:color="auto" w:sz="0" w:space="0"/>
                <w:lang w:val="nl"/>
              </w:rPr>
              <w:t>của kỳ hoàn thuế (2)</w:t>
            </w:r>
          </w:p>
        </w:tc>
        <w:tc>
          <w:tcPr>
            <w:tcW w:w="300" w:type="dxa"/>
            <w:vMerge w:val="restart"/>
            <w:shd w:val="clear" w:color="auto" w:fill="FFFFFF"/>
            <w:tcMar>
              <w:left w:w="100" w:type="dxa"/>
              <w:right w:w="100" w:type="dxa"/>
            </w:tcMar>
            <w:vAlign w:val="center"/>
          </w:tcPr>
          <w:p w14:paraId="7D7AB03C">
            <w:pPr>
              <w:pStyle w:val="4"/>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center"/>
              <w:rPr>
                <w:rFonts w:hint="default" w:ascii="Times New Roman" w:hAnsi="Times New Roman" w:cs="Times New Roman"/>
                <w:sz w:val="26"/>
                <w:szCs w:val="26"/>
              </w:rPr>
            </w:pPr>
            <w:r>
              <w:rPr>
                <w:rFonts w:hint="default" w:ascii="Times New Roman" w:hAnsi="Times New Roman" w:cs="Times New Roman"/>
                <w:i w:val="0"/>
                <w:iCs w:val="0"/>
                <w:caps w:val="0"/>
                <w:color w:val="000000"/>
                <w:spacing w:val="0"/>
                <w:sz w:val="26"/>
                <w:szCs w:val="26"/>
                <w:bdr w:val="none" w:color="auto" w:sz="0" w:space="0"/>
                <w:lang w:val="nl"/>
              </w:rPr>
              <w:t> </w:t>
            </w:r>
          </w:p>
          <w:p w14:paraId="4A5E6643">
            <w:pPr>
              <w:pStyle w:val="4"/>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center"/>
              <w:rPr>
                <w:rFonts w:hint="default" w:ascii="Times New Roman" w:hAnsi="Times New Roman" w:cs="Times New Roman"/>
                <w:sz w:val="26"/>
                <w:szCs w:val="26"/>
              </w:rPr>
            </w:pPr>
            <w:r>
              <w:rPr>
                <w:rFonts w:hint="default" w:ascii="Times New Roman" w:hAnsi="Times New Roman" w:cs="Times New Roman"/>
                <w:i w:val="0"/>
                <w:iCs w:val="0"/>
                <w:caps w:val="0"/>
                <w:color w:val="000000"/>
                <w:spacing w:val="0"/>
                <w:sz w:val="26"/>
                <w:szCs w:val="26"/>
                <w:bdr w:val="none" w:color="auto" w:sz="0" w:space="0"/>
                <w:lang w:val="nl"/>
              </w:rPr>
              <w:t> </w:t>
            </w:r>
          </w:p>
          <w:p w14:paraId="573C6A0D">
            <w:pPr>
              <w:pStyle w:val="4"/>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center"/>
              <w:rPr>
                <w:rFonts w:hint="default" w:ascii="Times New Roman" w:hAnsi="Times New Roman" w:cs="Times New Roman"/>
                <w:sz w:val="26"/>
                <w:szCs w:val="26"/>
              </w:rPr>
            </w:pPr>
            <w:r>
              <w:rPr>
                <w:rFonts w:hint="default" w:ascii="Times New Roman" w:hAnsi="Times New Roman" w:cs="Times New Roman"/>
                <w:i w:val="0"/>
                <w:iCs w:val="0"/>
                <w:caps w:val="0"/>
                <w:color w:val="000000"/>
                <w:spacing w:val="0"/>
                <w:sz w:val="26"/>
                <w:szCs w:val="26"/>
                <w:bdr w:val="none" w:color="auto" w:sz="0" w:space="0"/>
                <w:lang w:val="nl"/>
              </w:rPr>
              <w:t> </w:t>
            </w:r>
          </w:p>
          <w:p w14:paraId="64454035">
            <w:pPr>
              <w:pStyle w:val="4"/>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center"/>
              <w:rPr>
                <w:rFonts w:hint="default" w:ascii="Times New Roman" w:hAnsi="Times New Roman" w:cs="Times New Roman"/>
                <w:sz w:val="26"/>
                <w:szCs w:val="26"/>
              </w:rPr>
            </w:pPr>
            <w:r>
              <w:rPr>
                <w:rFonts w:hint="default" w:ascii="Times New Roman" w:hAnsi="Times New Roman" w:cs="Times New Roman"/>
                <w:i w:val="0"/>
                <w:iCs w:val="0"/>
                <w:caps w:val="0"/>
                <w:color w:val="000000"/>
                <w:spacing w:val="0"/>
                <w:sz w:val="26"/>
                <w:szCs w:val="26"/>
                <w:bdr w:val="none" w:color="auto" w:sz="0" w:space="0"/>
                <w:lang w:val="nl"/>
              </w:rPr>
              <w:t> </w:t>
            </w:r>
          </w:p>
          <w:p w14:paraId="6FA7ADA6">
            <w:pPr>
              <w:pStyle w:val="4"/>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center"/>
              <w:rPr>
                <w:rFonts w:hint="default" w:ascii="Times New Roman" w:hAnsi="Times New Roman" w:cs="Times New Roman"/>
                <w:sz w:val="26"/>
                <w:szCs w:val="26"/>
              </w:rPr>
            </w:pPr>
            <w:r>
              <w:rPr>
                <w:rFonts w:hint="default" w:ascii="Times New Roman" w:hAnsi="Times New Roman" w:cs="Times New Roman"/>
                <w:i w:val="0"/>
                <w:iCs w:val="0"/>
                <w:caps w:val="0"/>
                <w:color w:val="000000"/>
                <w:spacing w:val="0"/>
                <w:sz w:val="26"/>
                <w:szCs w:val="26"/>
                <w:bdr w:val="none" w:color="auto" w:sz="0" w:space="0"/>
                <w:lang w:val="nl"/>
              </w:rPr>
              <w:t>+</w:t>
            </w:r>
          </w:p>
        </w:tc>
        <w:tc>
          <w:tcPr>
            <w:tcW w:w="220" w:type="dxa"/>
            <w:vMerge w:val="restart"/>
            <w:shd w:val="clear" w:color="auto" w:fill="FFFFFF"/>
            <w:tcMar>
              <w:left w:w="100" w:type="dxa"/>
              <w:right w:w="100" w:type="dxa"/>
            </w:tcMar>
            <w:vAlign w:val="center"/>
          </w:tcPr>
          <w:p w14:paraId="1E0EAEF9">
            <w:pPr>
              <w:pStyle w:val="4"/>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center"/>
              <w:rPr>
                <w:rFonts w:hint="default" w:ascii="Times New Roman" w:hAnsi="Times New Roman" w:cs="Times New Roman"/>
                <w:sz w:val="26"/>
                <w:szCs w:val="26"/>
              </w:rPr>
            </w:pPr>
            <w:r>
              <w:rPr>
                <w:rFonts w:hint="default" w:ascii="Times New Roman" w:hAnsi="Times New Roman" w:cs="Times New Roman"/>
                <w:i w:val="0"/>
                <w:iCs w:val="0"/>
                <w:caps w:val="0"/>
                <w:color w:val="000000"/>
                <w:spacing w:val="0"/>
                <w:sz w:val="26"/>
                <w:szCs w:val="26"/>
                <w:bdr w:val="none" w:color="auto" w:sz="0" w:space="0"/>
                <w:lang w:val="nl"/>
              </w:rPr>
              <w:t> </w:t>
            </w:r>
          </w:p>
          <w:p w14:paraId="2FEB0B2C">
            <w:pPr>
              <w:pStyle w:val="4"/>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center"/>
              <w:rPr>
                <w:rFonts w:hint="default" w:ascii="Times New Roman" w:hAnsi="Times New Roman" w:cs="Times New Roman"/>
                <w:sz w:val="26"/>
                <w:szCs w:val="26"/>
              </w:rPr>
            </w:pPr>
            <w:r>
              <w:rPr>
                <w:rFonts w:hint="default" w:ascii="Times New Roman" w:hAnsi="Times New Roman" w:cs="Times New Roman"/>
                <w:i w:val="0"/>
                <w:iCs w:val="0"/>
                <w:caps w:val="0"/>
                <w:color w:val="000000"/>
                <w:spacing w:val="0"/>
                <w:sz w:val="26"/>
                <w:szCs w:val="26"/>
                <w:bdr w:val="none" w:color="auto" w:sz="0" w:space="0"/>
                <w:lang w:val="nl"/>
              </w:rPr>
              <w:t> </w:t>
            </w:r>
          </w:p>
          <w:p w14:paraId="23F01FEB">
            <w:pPr>
              <w:pStyle w:val="4"/>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center"/>
              <w:rPr>
                <w:rFonts w:hint="default" w:ascii="Times New Roman" w:hAnsi="Times New Roman" w:cs="Times New Roman"/>
                <w:sz w:val="26"/>
                <w:szCs w:val="26"/>
              </w:rPr>
            </w:pPr>
            <w:r>
              <w:rPr>
                <w:rFonts w:hint="default" w:ascii="Times New Roman" w:hAnsi="Times New Roman" w:cs="Times New Roman"/>
                <w:i w:val="0"/>
                <w:iCs w:val="0"/>
                <w:caps w:val="0"/>
                <w:color w:val="000000"/>
                <w:spacing w:val="0"/>
                <w:sz w:val="26"/>
                <w:szCs w:val="26"/>
                <w:bdr w:val="none" w:color="auto" w:sz="0" w:space="0"/>
                <w:lang w:val="nl"/>
              </w:rPr>
              <w:t> </w:t>
            </w:r>
          </w:p>
          <w:p w14:paraId="11140B74">
            <w:pPr>
              <w:pStyle w:val="4"/>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center"/>
              <w:rPr>
                <w:rFonts w:hint="default" w:ascii="Times New Roman" w:hAnsi="Times New Roman" w:cs="Times New Roman"/>
                <w:sz w:val="26"/>
                <w:szCs w:val="26"/>
              </w:rPr>
            </w:pPr>
            <w:r>
              <w:rPr>
                <w:rFonts w:hint="default" w:ascii="Times New Roman" w:hAnsi="Times New Roman" w:cs="Times New Roman"/>
                <w:i w:val="0"/>
                <w:iCs w:val="0"/>
                <w:caps w:val="0"/>
                <w:color w:val="000000"/>
                <w:spacing w:val="0"/>
                <w:sz w:val="26"/>
                <w:szCs w:val="26"/>
                <w:bdr w:val="none" w:color="auto" w:sz="0" w:space="0"/>
                <w:lang w:val="nl"/>
              </w:rPr>
              <w:t> </w:t>
            </w:r>
          </w:p>
          <w:p w14:paraId="2A92ACB5">
            <w:pPr>
              <w:pStyle w:val="4"/>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center"/>
              <w:rPr>
                <w:rFonts w:hint="default" w:ascii="Times New Roman" w:hAnsi="Times New Roman" w:cs="Times New Roman"/>
                <w:sz w:val="26"/>
                <w:szCs w:val="26"/>
              </w:rPr>
            </w:pPr>
            <w:r>
              <w:rPr>
                <w:rFonts w:hint="default" w:ascii="Times New Roman" w:hAnsi="Times New Roman" w:cs="Times New Roman"/>
                <w:i w:val="0"/>
                <w:iCs w:val="0"/>
                <w:caps w:val="0"/>
                <w:color w:val="000000"/>
                <w:spacing w:val="0"/>
                <w:sz w:val="26"/>
                <w:szCs w:val="26"/>
                <w:bdr w:val="none" w:color="auto" w:sz="0" w:space="0"/>
                <w:lang w:val="nl"/>
              </w:rPr>
              <w:t>(</w:t>
            </w:r>
          </w:p>
        </w:tc>
        <w:tc>
          <w:tcPr>
            <w:tcW w:w="2080" w:type="dxa"/>
            <w:vMerge w:val="restart"/>
            <w:shd w:val="clear" w:color="auto" w:fill="FFFFFF"/>
            <w:tcMar>
              <w:left w:w="100" w:type="dxa"/>
              <w:right w:w="100" w:type="dxa"/>
            </w:tcMar>
            <w:vAlign w:val="center"/>
          </w:tcPr>
          <w:p w14:paraId="7440AE96">
            <w:pPr>
              <w:pStyle w:val="4"/>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center"/>
              <w:rPr>
                <w:rFonts w:hint="default" w:ascii="Times New Roman" w:hAnsi="Times New Roman" w:cs="Times New Roman"/>
                <w:sz w:val="26"/>
                <w:szCs w:val="26"/>
              </w:rPr>
            </w:pPr>
            <w:r>
              <w:rPr>
                <w:rFonts w:hint="default" w:ascii="Times New Roman" w:hAnsi="Times New Roman" w:cs="Times New Roman"/>
                <w:i w:val="0"/>
                <w:iCs w:val="0"/>
                <w:caps w:val="0"/>
                <w:color w:val="000000"/>
                <w:spacing w:val="0"/>
                <w:sz w:val="26"/>
                <w:szCs w:val="26"/>
                <w:bdr w:val="none" w:color="auto" w:sz="0" w:space="0"/>
              </w:rPr>
              <w:t>Số thuế giá trị gia tăng đầu vào được khấu trừ sử dụng đồng thời cho hoạt động sản xuất, kinh doanh hàng hóa, dịch vụ xuất khẩu và tiêu thụ nội địa không hạch toán riêng được của kỳ hoàn thuế</w:t>
            </w:r>
            <w:r>
              <w:rPr>
                <w:rFonts w:hint="default" w:ascii="Times New Roman" w:hAnsi="Times New Roman" w:cs="Times New Roman"/>
                <w:i w:val="0"/>
                <w:iCs w:val="0"/>
                <w:caps w:val="0"/>
                <w:color w:val="000000"/>
                <w:spacing w:val="0"/>
                <w:sz w:val="26"/>
                <w:szCs w:val="26"/>
                <w:bdr w:val="none" w:color="auto" w:sz="0" w:space="0"/>
                <w:lang w:val="nl"/>
              </w:rPr>
              <w:t> (3)</w:t>
            </w:r>
          </w:p>
        </w:tc>
        <w:tc>
          <w:tcPr>
            <w:tcW w:w="280" w:type="dxa"/>
            <w:vMerge w:val="restart"/>
            <w:shd w:val="clear" w:color="auto" w:fill="FFFFFF"/>
            <w:tcMar>
              <w:left w:w="100" w:type="dxa"/>
              <w:right w:w="100" w:type="dxa"/>
            </w:tcMar>
            <w:vAlign w:val="center"/>
          </w:tcPr>
          <w:p w14:paraId="1D4C8E25">
            <w:pPr>
              <w:pStyle w:val="4"/>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left"/>
              <w:rPr>
                <w:rFonts w:hint="default" w:ascii="Times New Roman" w:hAnsi="Times New Roman" w:cs="Times New Roman"/>
                <w:sz w:val="26"/>
                <w:szCs w:val="26"/>
              </w:rPr>
            </w:pPr>
            <w:r>
              <w:rPr>
                <w:rFonts w:hint="default" w:ascii="Times New Roman" w:hAnsi="Times New Roman" w:cs="Times New Roman"/>
                <w:i w:val="0"/>
                <w:iCs w:val="0"/>
                <w:caps w:val="0"/>
                <w:color w:val="000000"/>
                <w:spacing w:val="0"/>
                <w:sz w:val="26"/>
                <w:szCs w:val="26"/>
                <w:bdr w:val="none" w:color="auto" w:sz="0" w:space="0"/>
              </w:rPr>
              <w:t> </w:t>
            </w:r>
          </w:p>
          <w:p w14:paraId="0A2B5A3F">
            <w:pPr>
              <w:pStyle w:val="4"/>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left"/>
              <w:rPr>
                <w:rFonts w:hint="default" w:ascii="Times New Roman" w:hAnsi="Times New Roman" w:cs="Times New Roman"/>
                <w:sz w:val="26"/>
                <w:szCs w:val="26"/>
              </w:rPr>
            </w:pPr>
            <w:r>
              <w:rPr>
                <w:rFonts w:hint="default" w:ascii="Times New Roman" w:hAnsi="Times New Roman" w:cs="Times New Roman"/>
                <w:i w:val="0"/>
                <w:iCs w:val="0"/>
                <w:caps w:val="0"/>
                <w:color w:val="000000"/>
                <w:spacing w:val="0"/>
                <w:sz w:val="26"/>
                <w:szCs w:val="26"/>
                <w:bdr w:val="none" w:color="auto" w:sz="0" w:space="0"/>
              </w:rPr>
              <w:t> </w:t>
            </w:r>
          </w:p>
          <w:p w14:paraId="492CD6A2">
            <w:pPr>
              <w:pStyle w:val="4"/>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left"/>
              <w:rPr>
                <w:rFonts w:hint="default" w:ascii="Times New Roman" w:hAnsi="Times New Roman" w:cs="Times New Roman"/>
                <w:sz w:val="26"/>
                <w:szCs w:val="26"/>
              </w:rPr>
            </w:pPr>
            <w:r>
              <w:rPr>
                <w:rFonts w:hint="default" w:ascii="Times New Roman" w:hAnsi="Times New Roman" w:cs="Times New Roman"/>
                <w:i w:val="0"/>
                <w:iCs w:val="0"/>
                <w:caps w:val="0"/>
                <w:color w:val="000000"/>
                <w:spacing w:val="0"/>
                <w:sz w:val="26"/>
                <w:szCs w:val="26"/>
                <w:bdr w:val="none" w:color="auto" w:sz="0" w:space="0"/>
              </w:rPr>
              <w:t> </w:t>
            </w:r>
          </w:p>
          <w:p w14:paraId="1B6FEB5F">
            <w:pPr>
              <w:pStyle w:val="4"/>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left"/>
              <w:rPr>
                <w:rFonts w:hint="default" w:ascii="Times New Roman" w:hAnsi="Times New Roman" w:cs="Times New Roman"/>
                <w:sz w:val="26"/>
                <w:szCs w:val="26"/>
              </w:rPr>
            </w:pPr>
            <w:r>
              <w:rPr>
                <w:rFonts w:hint="default" w:ascii="Times New Roman" w:hAnsi="Times New Roman" w:cs="Times New Roman"/>
                <w:i w:val="0"/>
                <w:iCs w:val="0"/>
                <w:caps w:val="0"/>
                <w:color w:val="000000"/>
                <w:spacing w:val="0"/>
                <w:sz w:val="26"/>
                <w:szCs w:val="26"/>
                <w:bdr w:val="none" w:color="auto" w:sz="0" w:space="0"/>
              </w:rPr>
              <w:t> </w:t>
            </w:r>
          </w:p>
          <w:p w14:paraId="391BFDD1">
            <w:pPr>
              <w:pStyle w:val="4"/>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left"/>
              <w:rPr>
                <w:rFonts w:hint="default" w:ascii="Times New Roman" w:hAnsi="Times New Roman" w:cs="Times New Roman"/>
                <w:sz w:val="26"/>
                <w:szCs w:val="26"/>
              </w:rPr>
            </w:pPr>
            <w:r>
              <w:rPr>
                <w:rFonts w:hint="default" w:ascii="Times New Roman" w:hAnsi="Times New Roman" w:cs="Times New Roman"/>
                <w:i w:val="0"/>
                <w:iCs w:val="0"/>
                <w:caps w:val="0"/>
                <w:color w:val="000000"/>
                <w:spacing w:val="0"/>
                <w:sz w:val="26"/>
                <w:szCs w:val="26"/>
                <w:bdr w:val="none" w:color="auto" w:sz="0" w:space="0"/>
              </w:rPr>
              <w:t>x</w:t>
            </w:r>
          </w:p>
        </w:tc>
        <w:tc>
          <w:tcPr>
            <w:tcW w:w="1980" w:type="dxa"/>
            <w:tcBorders>
              <w:top w:val="nil"/>
              <w:left w:val="nil"/>
              <w:bottom w:val="single" w:color="auto" w:sz="8" w:space="0"/>
              <w:right w:val="nil"/>
            </w:tcBorders>
            <w:shd w:val="clear" w:color="auto" w:fill="FFFFFF"/>
            <w:tcMar>
              <w:left w:w="100" w:type="dxa"/>
              <w:right w:w="100" w:type="dxa"/>
            </w:tcMar>
            <w:vAlign w:val="center"/>
          </w:tcPr>
          <w:p w14:paraId="50047B43">
            <w:pPr>
              <w:pStyle w:val="4"/>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center"/>
              <w:rPr>
                <w:rFonts w:hint="default" w:ascii="Times New Roman" w:hAnsi="Times New Roman" w:cs="Times New Roman"/>
                <w:sz w:val="26"/>
                <w:szCs w:val="26"/>
              </w:rPr>
            </w:pPr>
            <w:r>
              <w:rPr>
                <w:rFonts w:hint="default" w:ascii="Times New Roman" w:hAnsi="Times New Roman" w:cs="Times New Roman"/>
                <w:i w:val="0"/>
                <w:iCs w:val="0"/>
                <w:caps w:val="0"/>
                <w:color w:val="000000"/>
                <w:spacing w:val="0"/>
                <w:sz w:val="26"/>
                <w:szCs w:val="26"/>
                <w:bdr w:val="none" w:color="auto" w:sz="0" w:space="0"/>
              </w:rPr>
              <w:t>Doanh thu của hàng hóa, dịch vụ xuất khẩu (trừ doanh thu của hàng hóa nhập khẩu sau đó xuất khẩu sang nước khác) của kỳ hoàn thuế</w:t>
            </w:r>
          </w:p>
        </w:tc>
        <w:tc>
          <w:tcPr>
            <w:tcW w:w="260" w:type="dxa"/>
            <w:vMerge w:val="restart"/>
            <w:shd w:val="clear" w:color="auto" w:fill="FFFFFF"/>
            <w:tcMar>
              <w:left w:w="100" w:type="dxa"/>
              <w:right w:w="100" w:type="dxa"/>
            </w:tcMar>
            <w:vAlign w:val="center"/>
          </w:tcPr>
          <w:p w14:paraId="4F78EACE">
            <w:pPr>
              <w:pStyle w:val="4"/>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center"/>
              <w:rPr>
                <w:rFonts w:hint="default" w:ascii="Times New Roman" w:hAnsi="Times New Roman" w:cs="Times New Roman"/>
                <w:sz w:val="26"/>
                <w:szCs w:val="26"/>
              </w:rPr>
            </w:pPr>
            <w:r>
              <w:rPr>
                <w:rFonts w:hint="default" w:ascii="Times New Roman" w:hAnsi="Times New Roman" w:cs="Times New Roman"/>
                <w:i w:val="0"/>
                <w:iCs w:val="0"/>
                <w:caps w:val="0"/>
                <w:color w:val="000000"/>
                <w:spacing w:val="0"/>
                <w:sz w:val="26"/>
                <w:szCs w:val="26"/>
                <w:bdr w:val="none" w:color="auto" w:sz="0" w:space="0"/>
                <w:lang w:val="nl"/>
              </w:rPr>
              <w:t> </w:t>
            </w:r>
          </w:p>
          <w:p w14:paraId="789EC09B">
            <w:pPr>
              <w:pStyle w:val="4"/>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center"/>
              <w:rPr>
                <w:rFonts w:hint="default" w:ascii="Times New Roman" w:hAnsi="Times New Roman" w:cs="Times New Roman"/>
                <w:sz w:val="26"/>
                <w:szCs w:val="26"/>
              </w:rPr>
            </w:pPr>
            <w:r>
              <w:rPr>
                <w:rFonts w:hint="default" w:ascii="Times New Roman" w:hAnsi="Times New Roman" w:cs="Times New Roman"/>
                <w:i w:val="0"/>
                <w:iCs w:val="0"/>
                <w:caps w:val="0"/>
                <w:color w:val="000000"/>
                <w:spacing w:val="0"/>
                <w:sz w:val="26"/>
                <w:szCs w:val="26"/>
                <w:bdr w:val="none" w:color="auto" w:sz="0" w:space="0"/>
                <w:lang w:val="nl"/>
              </w:rPr>
              <w:t> </w:t>
            </w:r>
          </w:p>
          <w:p w14:paraId="0B413C0E">
            <w:pPr>
              <w:pStyle w:val="4"/>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center"/>
              <w:rPr>
                <w:rFonts w:hint="default" w:ascii="Times New Roman" w:hAnsi="Times New Roman" w:cs="Times New Roman"/>
                <w:sz w:val="26"/>
                <w:szCs w:val="26"/>
              </w:rPr>
            </w:pPr>
            <w:r>
              <w:rPr>
                <w:rFonts w:hint="default" w:ascii="Times New Roman" w:hAnsi="Times New Roman" w:cs="Times New Roman"/>
                <w:i w:val="0"/>
                <w:iCs w:val="0"/>
                <w:caps w:val="0"/>
                <w:color w:val="000000"/>
                <w:spacing w:val="0"/>
                <w:sz w:val="26"/>
                <w:szCs w:val="26"/>
                <w:bdr w:val="none" w:color="auto" w:sz="0" w:space="0"/>
                <w:lang w:val="nl"/>
              </w:rPr>
              <w:t> </w:t>
            </w:r>
          </w:p>
          <w:p w14:paraId="6C50C5F5">
            <w:pPr>
              <w:pStyle w:val="4"/>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center"/>
              <w:rPr>
                <w:rFonts w:hint="default" w:ascii="Times New Roman" w:hAnsi="Times New Roman" w:cs="Times New Roman"/>
                <w:sz w:val="26"/>
                <w:szCs w:val="26"/>
              </w:rPr>
            </w:pPr>
            <w:r>
              <w:rPr>
                <w:rFonts w:hint="default" w:ascii="Times New Roman" w:hAnsi="Times New Roman" w:cs="Times New Roman"/>
                <w:i w:val="0"/>
                <w:iCs w:val="0"/>
                <w:caps w:val="0"/>
                <w:color w:val="000000"/>
                <w:spacing w:val="0"/>
                <w:sz w:val="26"/>
                <w:szCs w:val="26"/>
                <w:bdr w:val="none" w:color="auto" w:sz="0" w:space="0"/>
                <w:lang w:val="nl"/>
              </w:rPr>
              <w:t> </w:t>
            </w:r>
          </w:p>
          <w:p w14:paraId="32364E58">
            <w:pPr>
              <w:pStyle w:val="4"/>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center"/>
              <w:rPr>
                <w:rFonts w:hint="default" w:ascii="Times New Roman" w:hAnsi="Times New Roman" w:cs="Times New Roman"/>
                <w:sz w:val="26"/>
                <w:szCs w:val="26"/>
              </w:rPr>
            </w:pPr>
            <w:r>
              <w:rPr>
                <w:rFonts w:hint="default" w:ascii="Times New Roman" w:hAnsi="Times New Roman" w:cs="Times New Roman"/>
                <w:i w:val="0"/>
                <w:iCs w:val="0"/>
                <w:caps w:val="0"/>
                <w:color w:val="000000"/>
                <w:spacing w:val="0"/>
                <w:sz w:val="26"/>
                <w:szCs w:val="26"/>
                <w:bdr w:val="none" w:color="auto" w:sz="0" w:space="0"/>
                <w:lang w:val="nl"/>
              </w:rPr>
              <w:t>)</w:t>
            </w:r>
          </w:p>
        </w:tc>
      </w:tr>
      <w:tr w14:paraId="5AB61D3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0" w:type="dxa"/>
        </w:trPr>
        <w:tc>
          <w:tcPr>
            <w:tcW w:w="1980" w:type="dxa"/>
            <w:vMerge w:val="continue"/>
            <w:shd w:val="clear" w:color="auto" w:fill="FFFFFF"/>
            <w:tcMar>
              <w:left w:w="100" w:type="dxa"/>
              <w:right w:w="100" w:type="dxa"/>
            </w:tcMar>
            <w:vAlign w:val="center"/>
          </w:tcPr>
          <w:p w14:paraId="06F9FE34">
            <w:pPr>
              <w:jc w:val="left"/>
              <w:rPr>
                <w:rFonts w:hint="default" w:ascii="Times New Roman" w:hAnsi="Times New Roman" w:cs="Times New Roman"/>
                <w:i w:val="0"/>
                <w:iCs w:val="0"/>
                <w:caps w:val="0"/>
                <w:color w:val="000000"/>
                <w:spacing w:val="0"/>
                <w:sz w:val="26"/>
                <w:szCs w:val="26"/>
              </w:rPr>
            </w:pPr>
          </w:p>
        </w:tc>
        <w:tc>
          <w:tcPr>
            <w:tcW w:w="280" w:type="dxa"/>
            <w:vMerge w:val="continue"/>
            <w:shd w:val="clear" w:color="auto" w:fill="FFFFFF"/>
            <w:tcMar>
              <w:left w:w="100" w:type="dxa"/>
              <w:right w:w="100" w:type="dxa"/>
            </w:tcMar>
            <w:vAlign w:val="center"/>
          </w:tcPr>
          <w:p w14:paraId="26DF720D">
            <w:pPr>
              <w:jc w:val="left"/>
              <w:rPr>
                <w:rFonts w:hint="default" w:ascii="Times New Roman" w:hAnsi="Times New Roman" w:cs="Times New Roman"/>
                <w:i w:val="0"/>
                <w:iCs w:val="0"/>
                <w:caps w:val="0"/>
                <w:color w:val="000000"/>
                <w:spacing w:val="0"/>
                <w:sz w:val="26"/>
                <w:szCs w:val="26"/>
              </w:rPr>
            </w:pPr>
          </w:p>
        </w:tc>
        <w:tc>
          <w:tcPr>
            <w:tcW w:w="1900" w:type="dxa"/>
            <w:vMerge w:val="continue"/>
            <w:shd w:val="clear" w:color="auto" w:fill="FFFFFF"/>
            <w:tcMar>
              <w:left w:w="100" w:type="dxa"/>
              <w:right w:w="100" w:type="dxa"/>
            </w:tcMar>
            <w:vAlign w:val="center"/>
          </w:tcPr>
          <w:p w14:paraId="048C8EC9">
            <w:pPr>
              <w:jc w:val="left"/>
              <w:rPr>
                <w:rFonts w:hint="default" w:ascii="Times New Roman" w:hAnsi="Times New Roman" w:cs="Times New Roman"/>
                <w:i w:val="0"/>
                <w:iCs w:val="0"/>
                <w:caps w:val="0"/>
                <w:color w:val="000000"/>
                <w:spacing w:val="0"/>
                <w:sz w:val="26"/>
                <w:szCs w:val="26"/>
              </w:rPr>
            </w:pPr>
          </w:p>
        </w:tc>
        <w:tc>
          <w:tcPr>
            <w:tcW w:w="300" w:type="dxa"/>
            <w:vMerge w:val="continue"/>
            <w:shd w:val="clear" w:color="auto" w:fill="FFFFFF"/>
            <w:tcMar>
              <w:left w:w="100" w:type="dxa"/>
              <w:right w:w="100" w:type="dxa"/>
            </w:tcMar>
            <w:vAlign w:val="center"/>
          </w:tcPr>
          <w:p w14:paraId="06FD9202">
            <w:pPr>
              <w:jc w:val="left"/>
              <w:rPr>
                <w:rFonts w:hint="default" w:ascii="Times New Roman" w:hAnsi="Times New Roman" w:cs="Times New Roman"/>
                <w:i w:val="0"/>
                <w:iCs w:val="0"/>
                <w:caps w:val="0"/>
                <w:color w:val="000000"/>
                <w:spacing w:val="0"/>
                <w:sz w:val="26"/>
                <w:szCs w:val="26"/>
              </w:rPr>
            </w:pPr>
          </w:p>
        </w:tc>
        <w:tc>
          <w:tcPr>
            <w:tcW w:w="220" w:type="dxa"/>
            <w:vMerge w:val="continue"/>
            <w:shd w:val="clear" w:color="auto" w:fill="FFFFFF"/>
            <w:tcMar>
              <w:left w:w="100" w:type="dxa"/>
              <w:right w:w="100" w:type="dxa"/>
            </w:tcMar>
            <w:vAlign w:val="center"/>
          </w:tcPr>
          <w:p w14:paraId="37582DB7">
            <w:pPr>
              <w:jc w:val="left"/>
              <w:rPr>
                <w:rFonts w:hint="default" w:ascii="Times New Roman" w:hAnsi="Times New Roman" w:cs="Times New Roman"/>
                <w:i w:val="0"/>
                <w:iCs w:val="0"/>
                <w:caps w:val="0"/>
                <w:color w:val="000000"/>
                <w:spacing w:val="0"/>
                <w:sz w:val="26"/>
                <w:szCs w:val="26"/>
              </w:rPr>
            </w:pPr>
          </w:p>
        </w:tc>
        <w:tc>
          <w:tcPr>
            <w:tcW w:w="2080" w:type="dxa"/>
            <w:vMerge w:val="continue"/>
            <w:shd w:val="clear" w:color="auto" w:fill="FFFFFF"/>
            <w:tcMar>
              <w:left w:w="100" w:type="dxa"/>
              <w:right w:w="100" w:type="dxa"/>
            </w:tcMar>
            <w:vAlign w:val="center"/>
          </w:tcPr>
          <w:p w14:paraId="11AB83A8">
            <w:pPr>
              <w:jc w:val="left"/>
              <w:rPr>
                <w:rFonts w:hint="default" w:ascii="Times New Roman" w:hAnsi="Times New Roman" w:cs="Times New Roman"/>
                <w:i w:val="0"/>
                <w:iCs w:val="0"/>
                <w:caps w:val="0"/>
                <w:color w:val="000000"/>
                <w:spacing w:val="0"/>
                <w:sz w:val="26"/>
                <w:szCs w:val="26"/>
              </w:rPr>
            </w:pPr>
          </w:p>
        </w:tc>
        <w:tc>
          <w:tcPr>
            <w:tcW w:w="280" w:type="dxa"/>
            <w:vMerge w:val="continue"/>
            <w:shd w:val="clear" w:color="auto" w:fill="FFFFFF"/>
            <w:tcMar>
              <w:left w:w="100" w:type="dxa"/>
              <w:right w:w="100" w:type="dxa"/>
            </w:tcMar>
            <w:vAlign w:val="center"/>
          </w:tcPr>
          <w:p w14:paraId="12DF9214">
            <w:pPr>
              <w:jc w:val="left"/>
              <w:rPr>
                <w:rFonts w:hint="default" w:ascii="Times New Roman" w:hAnsi="Times New Roman" w:cs="Times New Roman"/>
                <w:i w:val="0"/>
                <w:iCs w:val="0"/>
                <w:caps w:val="0"/>
                <w:color w:val="000000"/>
                <w:spacing w:val="0"/>
                <w:sz w:val="26"/>
                <w:szCs w:val="26"/>
              </w:rPr>
            </w:pPr>
          </w:p>
        </w:tc>
        <w:tc>
          <w:tcPr>
            <w:tcW w:w="1980" w:type="dxa"/>
            <w:shd w:val="clear" w:color="auto" w:fill="FFFFFF"/>
            <w:tcMar>
              <w:left w:w="100" w:type="dxa"/>
              <w:right w:w="100" w:type="dxa"/>
            </w:tcMar>
            <w:vAlign w:val="top"/>
          </w:tcPr>
          <w:p w14:paraId="7D963848">
            <w:pPr>
              <w:pStyle w:val="4"/>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center"/>
              <w:rPr>
                <w:rFonts w:hint="default" w:ascii="Times New Roman" w:hAnsi="Times New Roman" w:cs="Times New Roman"/>
                <w:sz w:val="26"/>
                <w:szCs w:val="26"/>
              </w:rPr>
            </w:pPr>
            <w:r>
              <w:rPr>
                <w:rFonts w:hint="default" w:ascii="Times New Roman" w:hAnsi="Times New Roman" w:cs="Times New Roman"/>
                <w:i w:val="0"/>
                <w:iCs w:val="0"/>
                <w:caps w:val="0"/>
                <w:color w:val="000000"/>
                <w:spacing w:val="0"/>
                <w:sz w:val="26"/>
                <w:szCs w:val="26"/>
                <w:bdr w:val="none" w:color="auto" w:sz="0" w:space="0"/>
                <w:lang w:val="nl"/>
              </w:rPr>
              <w:t>Tổng doanh thu hàng hóa, dịch vụ chịu thuế của kỳ hoàn thuế</w:t>
            </w:r>
          </w:p>
        </w:tc>
        <w:tc>
          <w:tcPr>
            <w:tcW w:w="260" w:type="dxa"/>
            <w:vMerge w:val="continue"/>
            <w:shd w:val="clear" w:color="auto" w:fill="FFFFFF"/>
            <w:tcMar>
              <w:left w:w="100" w:type="dxa"/>
              <w:right w:w="100" w:type="dxa"/>
            </w:tcMar>
            <w:vAlign w:val="center"/>
          </w:tcPr>
          <w:p w14:paraId="2CF5BC65">
            <w:pPr>
              <w:jc w:val="left"/>
              <w:rPr>
                <w:rFonts w:hint="default" w:ascii="Times New Roman" w:hAnsi="Times New Roman" w:cs="Times New Roman"/>
                <w:i w:val="0"/>
                <w:iCs w:val="0"/>
                <w:caps w:val="0"/>
                <w:color w:val="000000"/>
                <w:spacing w:val="0"/>
                <w:sz w:val="26"/>
                <w:szCs w:val="26"/>
              </w:rPr>
            </w:pPr>
          </w:p>
        </w:tc>
      </w:tr>
    </w:tbl>
    <w:p w14:paraId="351B3A4F">
      <w:pPr>
        <w:pStyle w:val="4"/>
        <w:keepNext w:val="0"/>
        <w:keepLines w:val="0"/>
        <w:widowControl/>
        <w:suppressLineNumbers w:val="0"/>
        <w:pBdr>
          <w:left w:val="none" w:color="auto" w:sz="0" w:space="0"/>
          <w:right w:val="none" w:color="auto" w:sz="0" w:space="0"/>
        </w:pBdr>
        <w:shd w:val="clear" w:fill="FFFFFF"/>
        <w:spacing w:before="120" w:beforeAutospacing="0" w:after="120" w:afterAutospacing="0" w:line="225" w:lineRule="atLeast"/>
        <w:ind w:left="0" w:right="0" w:firstLine="0"/>
        <w:jc w:val="left"/>
        <w:rPr>
          <w:rFonts w:hint="default" w:ascii="Times New Roman" w:hAnsi="Times New Roman" w:cs="Times New Roman"/>
          <w:i w:val="0"/>
          <w:iCs w:val="0"/>
          <w:caps w:val="0"/>
          <w:color w:val="000000"/>
          <w:spacing w:val="0"/>
          <w:sz w:val="26"/>
          <w:szCs w:val="26"/>
        </w:rPr>
      </w:pPr>
      <w:r>
        <w:rPr>
          <w:rFonts w:hint="default" w:ascii="Times New Roman" w:hAnsi="Times New Roman" w:cs="Times New Roman"/>
          <w:i w:val="0"/>
          <w:iCs w:val="0"/>
          <w:caps w:val="0"/>
          <w:color w:val="000000"/>
          <w:spacing w:val="0"/>
          <w:sz w:val="26"/>
          <w:szCs w:val="26"/>
          <w:bdr w:val="none" w:color="auto" w:sz="0" w:space="0"/>
          <w:shd w:val="clear" w:fill="FFFFFF"/>
        </w:rPr>
        <w:t> </w:t>
      </w:r>
    </w:p>
    <w:tbl>
      <w:tblPr>
        <w:tblW w:w="0" w:type="auto"/>
        <w:tblCellSpacing w:w="0"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1595"/>
        <w:gridCol w:w="354"/>
        <w:gridCol w:w="1949"/>
        <w:gridCol w:w="354"/>
        <w:gridCol w:w="1861"/>
        <w:gridCol w:w="354"/>
        <w:gridCol w:w="2039"/>
      </w:tblGrid>
      <w:tr w14:paraId="2514747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0" w:type="dxa"/>
            <w:left w:w="0" w:type="dxa"/>
            <w:bottom w:w="0" w:type="dxa"/>
            <w:right w:w="0" w:type="dxa"/>
          </w:tblCellMar>
        </w:tblPrEx>
        <w:trPr>
          <w:tblCellSpacing w:w="0" w:type="dxa"/>
        </w:trPr>
        <w:tc>
          <w:tcPr>
            <w:tcW w:w="900" w:type="pct"/>
            <w:shd w:val="clear" w:color="auto" w:fill="FFFFFF"/>
            <w:tcMar>
              <w:left w:w="100" w:type="dxa"/>
              <w:right w:w="100" w:type="dxa"/>
            </w:tcMar>
            <w:vAlign w:val="center"/>
          </w:tcPr>
          <w:p w14:paraId="2C3A03F3">
            <w:pPr>
              <w:pStyle w:val="4"/>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center"/>
              <w:rPr>
                <w:rFonts w:hint="default" w:ascii="Times New Roman" w:hAnsi="Times New Roman" w:cs="Times New Roman"/>
                <w:sz w:val="26"/>
                <w:szCs w:val="26"/>
              </w:rPr>
            </w:pPr>
            <w:r>
              <w:rPr>
                <w:rFonts w:hint="default" w:ascii="Times New Roman" w:hAnsi="Times New Roman" w:cs="Times New Roman"/>
                <w:i w:val="0"/>
                <w:iCs w:val="0"/>
                <w:caps w:val="0"/>
                <w:color w:val="000000"/>
                <w:spacing w:val="0"/>
                <w:sz w:val="26"/>
                <w:szCs w:val="26"/>
                <w:bdr w:val="none" w:color="auto" w:sz="0" w:space="0"/>
              </w:rPr>
              <w:t>Số thuế giá trị gia tăng đầu vào được khấu trừ sử dụng cho sản xuất, kinh doanh hàng hóa, dịch vụ xuất khẩu hạch toán riêng được </w:t>
            </w:r>
            <w:r>
              <w:rPr>
                <w:rFonts w:hint="default" w:ascii="Times New Roman" w:hAnsi="Times New Roman" w:cs="Times New Roman"/>
                <w:i w:val="0"/>
                <w:iCs w:val="0"/>
                <w:caps w:val="0"/>
                <w:color w:val="000000"/>
                <w:spacing w:val="0"/>
                <w:sz w:val="26"/>
                <w:szCs w:val="26"/>
                <w:bdr w:val="none" w:color="auto" w:sz="0" w:space="0"/>
                <w:lang w:val="nl"/>
              </w:rPr>
              <w:t>của kỳ hoàn thuế (2)</w:t>
            </w:r>
          </w:p>
        </w:tc>
        <w:tc>
          <w:tcPr>
            <w:tcW w:w="200" w:type="pct"/>
            <w:shd w:val="clear" w:color="auto" w:fill="FFFFFF"/>
            <w:tcMar>
              <w:left w:w="100" w:type="dxa"/>
              <w:right w:w="100" w:type="dxa"/>
            </w:tcMar>
            <w:vAlign w:val="center"/>
          </w:tcPr>
          <w:p w14:paraId="71B168E1">
            <w:pPr>
              <w:pStyle w:val="4"/>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center"/>
              <w:rPr>
                <w:rFonts w:hint="default" w:ascii="Times New Roman" w:hAnsi="Times New Roman" w:cs="Times New Roman"/>
                <w:sz w:val="26"/>
                <w:szCs w:val="26"/>
              </w:rPr>
            </w:pPr>
            <w:r>
              <w:rPr>
                <w:rFonts w:hint="default" w:ascii="Times New Roman" w:hAnsi="Times New Roman" w:cs="Times New Roman"/>
                <w:i w:val="0"/>
                <w:iCs w:val="0"/>
                <w:caps w:val="0"/>
                <w:color w:val="000000"/>
                <w:spacing w:val="0"/>
                <w:sz w:val="26"/>
                <w:szCs w:val="26"/>
                <w:bdr w:val="none" w:color="auto" w:sz="0" w:space="0"/>
              </w:rPr>
              <w:t>=</w:t>
            </w:r>
          </w:p>
        </w:tc>
        <w:tc>
          <w:tcPr>
            <w:tcW w:w="1100" w:type="pct"/>
            <w:shd w:val="clear" w:color="auto" w:fill="FFFFFF"/>
            <w:tcMar>
              <w:left w:w="100" w:type="dxa"/>
              <w:right w:w="100" w:type="dxa"/>
            </w:tcMar>
            <w:vAlign w:val="center"/>
          </w:tcPr>
          <w:p w14:paraId="433C714E">
            <w:pPr>
              <w:pStyle w:val="4"/>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center"/>
              <w:rPr>
                <w:rFonts w:hint="default" w:ascii="Times New Roman" w:hAnsi="Times New Roman" w:cs="Times New Roman"/>
                <w:sz w:val="26"/>
                <w:szCs w:val="26"/>
              </w:rPr>
            </w:pPr>
            <w:r>
              <w:rPr>
                <w:rFonts w:hint="default" w:ascii="Times New Roman" w:hAnsi="Times New Roman" w:cs="Times New Roman"/>
                <w:i w:val="0"/>
                <w:iCs w:val="0"/>
                <w:caps w:val="0"/>
                <w:color w:val="000000"/>
                <w:spacing w:val="0"/>
                <w:sz w:val="26"/>
                <w:szCs w:val="26"/>
                <w:bdr w:val="none" w:color="auto" w:sz="0" w:space="0"/>
              </w:rPr>
              <w:t>Số thuế giá trị gia tăng đầu vào chưa khấu trừ hết sử dụng cho sản xuất, kinh doanh hàng hóa, dịch vụ xuất khẩu hạch toán riêng được kỳ trước chuyển sang tại kỳ tính thuế đầu tiên thuộc kỳ hoàn thuế</w:t>
            </w:r>
          </w:p>
        </w:tc>
        <w:tc>
          <w:tcPr>
            <w:tcW w:w="200" w:type="pct"/>
            <w:shd w:val="clear" w:color="auto" w:fill="FFFFFF"/>
            <w:tcMar>
              <w:left w:w="100" w:type="dxa"/>
              <w:right w:w="100" w:type="dxa"/>
            </w:tcMar>
            <w:vAlign w:val="center"/>
          </w:tcPr>
          <w:p w14:paraId="2ADF55AE">
            <w:pPr>
              <w:pStyle w:val="4"/>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center"/>
              <w:rPr>
                <w:rFonts w:hint="default" w:ascii="Times New Roman" w:hAnsi="Times New Roman" w:cs="Times New Roman"/>
                <w:sz w:val="26"/>
                <w:szCs w:val="26"/>
              </w:rPr>
            </w:pPr>
            <w:r>
              <w:rPr>
                <w:rFonts w:hint="default" w:ascii="Times New Roman" w:hAnsi="Times New Roman" w:cs="Times New Roman"/>
                <w:i w:val="0"/>
                <w:iCs w:val="0"/>
                <w:caps w:val="0"/>
                <w:color w:val="000000"/>
                <w:spacing w:val="0"/>
                <w:sz w:val="26"/>
                <w:szCs w:val="26"/>
                <w:bdr w:val="none" w:color="auto" w:sz="0" w:space="0"/>
              </w:rPr>
              <w:t>+</w:t>
            </w:r>
          </w:p>
        </w:tc>
        <w:tc>
          <w:tcPr>
            <w:tcW w:w="1050" w:type="pct"/>
            <w:shd w:val="clear" w:color="auto" w:fill="FFFFFF"/>
            <w:tcMar>
              <w:left w:w="100" w:type="dxa"/>
              <w:right w:w="100" w:type="dxa"/>
            </w:tcMar>
            <w:vAlign w:val="center"/>
          </w:tcPr>
          <w:p w14:paraId="4F7E6C1B">
            <w:pPr>
              <w:pStyle w:val="4"/>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center"/>
              <w:rPr>
                <w:rFonts w:hint="default" w:ascii="Times New Roman" w:hAnsi="Times New Roman" w:cs="Times New Roman"/>
                <w:sz w:val="26"/>
                <w:szCs w:val="26"/>
              </w:rPr>
            </w:pPr>
            <w:r>
              <w:rPr>
                <w:rFonts w:hint="default" w:ascii="Times New Roman" w:hAnsi="Times New Roman" w:cs="Times New Roman"/>
                <w:i w:val="0"/>
                <w:iCs w:val="0"/>
                <w:caps w:val="0"/>
                <w:color w:val="000000"/>
                <w:spacing w:val="0"/>
                <w:sz w:val="26"/>
                <w:szCs w:val="26"/>
                <w:bdr w:val="none" w:color="auto" w:sz="0" w:space="0"/>
              </w:rPr>
              <w:t>Số thuế giá trị gia tăng đầu vào được khấu trừ sử dụng cho sản xuất, kinh doanh hàng hóa, dịch vụ xuất khẩu hạch toán riêng được phát sinh trong các kỳ tính thuế thuộc kỳ  hoàn thuế</w:t>
            </w:r>
          </w:p>
        </w:tc>
        <w:tc>
          <w:tcPr>
            <w:tcW w:w="200" w:type="pct"/>
            <w:shd w:val="clear" w:color="auto" w:fill="FFFFFF"/>
            <w:tcMar>
              <w:left w:w="100" w:type="dxa"/>
              <w:right w:w="100" w:type="dxa"/>
            </w:tcMar>
            <w:vAlign w:val="center"/>
          </w:tcPr>
          <w:p w14:paraId="7F3D0C49">
            <w:pPr>
              <w:pStyle w:val="4"/>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center"/>
              <w:rPr>
                <w:rFonts w:hint="default" w:ascii="Times New Roman" w:hAnsi="Times New Roman" w:cs="Times New Roman"/>
                <w:sz w:val="26"/>
                <w:szCs w:val="26"/>
              </w:rPr>
            </w:pPr>
            <w:r>
              <w:rPr>
                <w:rFonts w:hint="default" w:ascii="Times New Roman" w:hAnsi="Times New Roman" w:cs="Times New Roman"/>
                <w:i w:val="0"/>
                <w:iCs w:val="0"/>
                <w:caps w:val="0"/>
                <w:color w:val="000000"/>
                <w:spacing w:val="0"/>
                <w:sz w:val="26"/>
                <w:szCs w:val="26"/>
                <w:bdr w:val="none" w:color="auto" w:sz="0" w:space="0"/>
              </w:rPr>
              <w:t>+</w:t>
            </w:r>
          </w:p>
        </w:tc>
        <w:tc>
          <w:tcPr>
            <w:tcW w:w="1150" w:type="pct"/>
            <w:shd w:val="clear" w:color="auto" w:fill="FFFFFF"/>
            <w:tcMar>
              <w:left w:w="100" w:type="dxa"/>
              <w:right w:w="100" w:type="dxa"/>
            </w:tcMar>
            <w:vAlign w:val="center"/>
          </w:tcPr>
          <w:p w14:paraId="23A215DE">
            <w:pPr>
              <w:pStyle w:val="4"/>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center"/>
              <w:rPr>
                <w:rFonts w:hint="default" w:ascii="Times New Roman" w:hAnsi="Times New Roman" w:cs="Times New Roman"/>
                <w:sz w:val="26"/>
                <w:szCs w:val="26"/>
              </w:rPr>
            </w:pPr>
            <w:r>
              <w:rPr>
                <w:rFonts w:hint="default" w:ascii="Times New Roman" w:hAnsi="Times New Roman" w:cs="Times New Roman"/>
                <w:i w:val="0"/>
                <w:iCs w:val="0"/>
                <w:caps w:val="0"/>
                <w:color w:val="000000"/>
                <w:spacing w:val="0"/>
                <w:sz w:val="26"/>
                <w:szCs w:val="26"/>
                <w:bdr w:val="none" w:color="auto" w:sz="0" w:space="0"/>
              </w:rPr>
              <w:t>Chênh lệch điều chỉnh tăng, giảm số thuế giá trị gia tăng đầu vào </w:t>
            </w:r>
            <w:r>
              <w:rPr>
                <w:rFonts w:hint="default" w:ascii="Times New Roman" w:hAnsi="Times New Roman" w:cs="Times New Roman"/>
                <w:i w:val="0"/>
                <w:iCs w:val="0"/>
                <w:caps w:val="0"/>
                <w:color w:val="000000"/>
                <w:spacing w:val="0"/>
                <w:sz w:val="26"/>
                <w:szCs w:val="26"/>
                <w:bdr w:val="none" w:color="auto" w:sz="0" w:space="0"/>
                <w:lang w:val="nl"/>
              </w:rPr>
              <w:t>được khấu trừ </w:t>
            </w:r>
            <w:r>
              <w:rPr>
                <w:rFonts w:hint="default" w:ascii="Times New Roman" w:hAnsi="Times New Roman" w:cs="Times New Roman"/>
                <w:i w:val="0"/>
                <w:iCs w:val="0"/>
                <w:caps w:val="0"/>
                <w:color w:val="000000"/>
                <w:spacing w:val="0"/>
                <w:sz w:val="26"/>
                <w:szCs w:val="26"/>
                <w:bdr w:val="none" w:color="auto" w:sz="0" w:space="0"/>
              </w:rPr>
              <w:t>sử dụng cho sản xuất, kinh doanh hàng hóa, dịch vụ xuất khẩu hạch toán riêng được </w:t>
            </w:r>
            <w:r>
              <w:rPr>
                <w:rFonts w:hint="default" w:ascii="Times New Roman" w:hAnsi="Times New Roman" w:cs="Times New Roman"/>
                <w:i w:val="0"/>
                <w:iCs w:val="0"/>
                <w:caps w:val="0"/>
                <w:color w:val="000000"/>
                <w:spacing w:val="0"/>
                <w:sz w:val="26"/>
                <w:szCs w:val="26"/>
                <w:bdr w:val="none" w:color="auto" w:sz="0" w:space="0"/>
                <w:lang w:val="nl"/>
              </w:rPr>
              <w:t>của các kỳ tính thuế trước kỳ hoàn thuế (4)</w:t>
            </w:r>
          </w:p>
        </w:tc>
      </w:tr>
    </w:tbl>
    <w:p w14:paraId="5413BCF6">
      <w:pPr>
        <w:pStyle w:val="4"/>
        <w:keepNext w:val="0"/>
        <w:keepLines w:val="0"/>
        <w:widowControl/>
        <w:suppressLineNumbers w:val="0"/>
        <w:pBdr>
          <w:left w:val="none" w:color="auto" w:sz="0" w:space="0"/>
          <w:right w:val="none" w:color="auto" w:sz="0" w:space="0"/>
        </w:pBdr>
        <w:shd w:val="clear" w:fill="FFFFFF"/>
        <w:spacing w:before="120" w:beforeAutospacing="0" w:after="120" w:afterAutospacing="0" w:line="225" w:lineRule="atLeast"/>
        <w:ind w:left="0" w:right="0" w:firstLine="0"/>
        <w:jc w:val="left"/>
        <w:rPr>
          <w:rFonts w:hint="default" w:ascii="Times New Roman" w:hAnsi="Times New Roman" w:cs="Times New Roman"/>
          <w:i w:val="0"/>
          <w:iCs w:val="0"/>
          <w:caps w:val="0"/>
          <w:color w:val="000000"/>
          <w:spacing w:val="0"/>
          <w:sz w:val="26"/>
          <w:szCs w:val="26"/>
        </w:rPr>
      </w:pPr>
      <w:r>
        <w:rPr>
          <w:rFonts w:hint="default" w:ascii="Times New Roman" w:hAnsi="Times New Roman" w:cs="Times New Roman"/>
          <w:i w:val="0"/>
          <w:iCs w:val="0"/>
          <w:caps w:val="0"/>
          <w:color w:val="000000"/>
          <w:spacing w:val="0"/>
          <w:sz w:val="26"/>
          <w:szCs w:val="26"/>
          <w:bdr w:val="none" w:color="auto" w:sz="0" w:space="0"/>
          <w:shd w:val="clear" w:fill="FFFFFF"/>
        </w:rPr>
        <w:t> </w:t>
      </w:r>
    </w:p>
    <w:tbl>
      <w:tblPr>
        <w:tblW w:w="0" w:type="auto"/>
        <w:tblCellSpacing w:w="0"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1577"/>
        <w:gridCol w:w="351"/>
        <w:gridCol w:w="2105"/>
        <w:gridCol w:w="351"/>
        <w:gridCol w:w="1491"/>
        <w:gridCol w:w="351"/>
        <w:gridCol w:w="2280"/>
      </w:tblGrid>
      <w:tr w14:paraId="5188539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0" w:type="dxa"/>
            <w:left w:w="0" w:type="dxa"/>
            <w:bottom w:w="0" w:type="dxa"/>
            <w:right w:w="0" w:type="dxa"/>
          </w:tblCellMar>
        </w:tblPrEx>
        <w:trPr>
          <w:tblCellSpacing w:w="0" w:type="dxa"/>
        </w:trPr>
        <w:tc>
          <w:tcPr>
            <w:tcW w:w="900" w:type="pct"/>
            <w:shd w:val="clear" w:color="auto" w:fill="FFFFFF"/>
            <w:tcMar>
              <w:left w:w="100" w:type="dxa"/>
              <w:right w:w="100" w:type="dxa"/>
            </w:tcMar>
            <w:vAlign w:val="center"/>
          </w:tcPr>
          <w:p w14:paraId="1C31404E">
            <w:pPr>
              <w:pStyle w:val="4"/>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center"/>
              <w:rPr>
                <w:rFonts w:hint="default" w:ascii="Times New Roman" w:hAnsi="Times New Roman" w:cs="Times New Roman"/>
                <w:sz w:val="26"/>
                <w:szCs w:val="26"/>
              </w:rPr>
            </w:pPr>
            <w:r>
              <w:rPr>
                <w:rFonts w:hint="default" w:ascii="Times New Roman" w:hAnsi="Times New Roman" w:cs="Times New Roman"/>
                <w:i w:val="0"/>
                <w:iCs w:val="0"/>
                <w:caps w:val="0"/>
                <w:color w:val="000000"/>
                <w:spacing w:val="0"/>
                <w:sz w:val="26"/>
                <w:szCs w:val="26"/>
                <w:bdr w:val="none" w:color="auto" w:sz="0" w:space="0"/>
              </w:rPr>
              <w:t>Số thuế giá trị gia tăng đầu vào được khấu trừ sử dụng đồng thời cho hoạt động sản xuất, kinh doanh hàng hóa, dịch vụ xuất khẩu và tiêu thụ nội địa không hạch toán riêng được của kỳ hoàn thuế (3)</w:t>
            </w:r>
          </w:p>
        </w:tc>
        <w:tc>
          <w:tcPr>
            <w:tcW w:w="200" w:type="pct"/>
            <w:shd w:val="clear" w:color="auto" w:fill="FFFFFF"/>
            <w:tcMar>
              <w:left w:w="100" w:type="dxa"/>
              <w:right w:w="100" w:type="dxa"/>
            </w:tcMar>
            <w:vAlign w:val="center"/>
          </w:tcPr>
          <w:p w14:paraId="6731A294">
            <w:pPr>
              <w:pStyle w:val="4"/>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center"/>
              <w:rPr>
                <w:rFonts w:hint="default" w:ascii="Times New Roman" w:hAnsi="Times New Roman" w:cs="Times New Roman"/>
                <w:sz w:val="26"/>
                <w:szCs w:val="26"/>
              </w:rPr>
            </w:pPr>
            <w:r>
              <w:rPr>
                <w:rFonts w:hint="default" w:ascii="Times New Roman" w:hAnsi="Times New Roman" w:cs="Times New Roman"/>
                <w:i w:val="0"/>
                <w:iCs w:val="0"/>
                <w:caps w:val="0"/>
                <w:color w:val="000000"/>
                <w:spacing w:val="0"/>
                <w:sz w:val="26"/>
                <w:szCs w:val="26"/>
                <w:bdr w:val="none" w:color="auto" w:sz="0" w:space="0"/>
              </w:rPr>
              <w:t>=</w:t>
            </w:r>
          </w:p>
        </w:tc>
        <w:tc>
          <w:tcPr>
            <w:tcW w:w="1200" w:type="pct"/>
            <w:shd w:val="clear" w:color="auto" w:fill="FFFFFF"/>
            <w:tcMar>
              <w:left w:w="100" w:type="dxa"/>
              <w:right w:w="100" w:type="dxa"/>
            </w:tcMar>
            <w:vAlign w:val="center"/>
          </w:tcPr>
          <w:p w14:paraId="6B8D8A96">
            <w:pPr>
              <w:pStyle w:val="4"/>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center"/>
              <w:rPr>
                <w:rFonts w:hint="default" w:ascii="Times New Roman" w:hAnsi="Times New Roman" w:cs="Times New Roman"/>
                <w:sz w:val="26"/>
                <w:szCs w:val="26"/>
              </w:rPr>
            </w:pPr>
            <w:r>
              <w:rPr>
                <w:rFonts w:hint="default" w:ascii="Times New Roman" w:hAnsi="Times New Roman" w:cs="Times New Roman"/>
                <w:i w:val="0"/>
                <w:iCs w:val="0"/>
                <w:caps w:val="0"/>
                <w:color w:val="000000"/>
                <w:spacing w:val="0"/>
                <w:sz w:val="26"/>
                <w:szCs w:val="26"/>
                <w:bdr w:val="none" w:color="auto" w:sz="0" w:space="0"/>
              </w:rPr>
              <w:t>Số thuế giá trị gia tăng đầu vào chưa khấu trừ hết sử dụng đồng thời cho hoạt động sản xuất, kinh doanh hàng hóa, dịch vụ xuất khẩu và tiêu thụ nội địa không hạch toán riêng được kỳ trước chuyển sang tại</w:t>
            </w:r>
            <w:r>
              <w:rPr>
                <w:rFonts w:hint="default" w:ascii="Times New Roman" w:hAnsi="Times New Roman" w:cs="Times New Roman"/>
                <w:i w:val="0"/>
                <w:iCs w:val="0"/>
                <w:caps w:val="0"/>
                <w:color w:val="FF0000"/>
                <w:spacing w:val="0"/>
                <w:sz w:val="26"/>
                <w:szCs w:val="26"/>
                <w:bdr w:val="none" w:color="auto" w:sz="0" w:space="0"/>
              </w:rPr>
              <w:t> </w:t>
            </w:r>
            <w:r>
              <w:rPr>
                <w:rFonts w:hint="default" w:ascii="Times New Roman" w:hAnsi="Times New Roman" w:cs="Times New Roman"/>
                <w:i w:val="0"/>
                <w:iCs w:val="0"/>
                <w:caps w:val="0"/>
                <w:color w:val="000000"/>
                <w:spacing w:val="0"/>
                <w:sz w:val="26"/>
                <w:szCs w:val="26"/>
                <w:bdr w:val="none" w:color="auto" w:sz="0" w:space="0"/>
              </w:rPr>
              <w:t>kỳ tính thuế đầu tiên thuộc kỳ hoàn thuế</w:t>
            </w:r>
          </w:p>
        </w:tc>
        <w:tc>
          <w:tcPr>
            <w:tcW w:w="200" w:type="pct"/>
            <w:shd w:val="clear" w:color="auto" w:fill="FFFFFF"/>
            <w:tcMar>
              <w:left w:w="100" w:type="dxa"/>
              <w:right w:w="100" w:type="dxa"/>
            </w:tcMar>
            <w:vAlign w:val="center"/>
          </w:tcPr>
          <w:p w14:paraId="2D99BE02">
            <w:pPr>
              <w:pStyle w:val="4"/>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center"/>
              <w:rPr>
                <w:rFonts w:hint="default" w:ascii="Times New Roman" w:hAnsi="Times New Roman" w:cs="Times New Roman"/>
                <w:sz w:val="26"/>
                <w:szCs w:val="26"/>
              </w:rPr>
            </w:pPr>
            <w:r>
              <w:rPr>
                <w:rFonts w:hint="default" w:ascii="Times New Roman" w:hAnsi="Times New Roman" w:cs="Times New Roman"/>
                <w:i w:val="0"/>
                <w:iCs w:val="0"/>
                <w:caps w:val="0"/>
                <w:color w:val="000000"/>
                <w:spacing w:val="0"/>
                <w:sz w:val="26"/>
                <w:szCs w:val="26"/>
                <w:bdr w:val="none" w:color="auto" w:sz="0" w:space="0"/>
              </w:rPr>
              <w:t>+</w:t>
            </w:r>
          </w:p>
        </w:tc>
        <w:tc>
          <w:tcPr>
            <w:tcW w:w="850" w:type="pct"/>
            <w:shd w:val="clear" w:color="auto" w:fill="FFFFFF"/>
            <w:tcMar>
              <w:left w:w="100" w:type="dxa"/>
              <w:right w:w="100" w:type="dxa"/>
            </w:tcMar>
            <w:vAlign w:val="center"/>
          </w:tcPr>
          <w:p w14:paraId="3618D9AB">
            <w:pPr>
              <w:pStyle w:val="4"/>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center"/>
              <w:rPr>
                <w:rFonts w:hint="default" w:ascii="Times New Roman" w:hAnsi="Times New Roman" w:cs="Times New Roman"/>
                <w:sz w:val="26"/>
                <w:szCs w:val="26"/>
              </w:rPr>
            </w:pPr>
            <w:r>
              <w:rPr>
                <w:rFonts w:hint="default" w:ascii="Times New Roman" w:hAnsi="Times New Roman" w:cs="Times New Roman"/>
                <w:i w:val="0"/>
                <w:iCs w:val="0"/>
                <w:caps w:val="0"/>
                <w:color w:val="000000"/>
                <w:spacing w:val="0"/>
                <w:sz w:val="26"/>
                <w:szCs w:val="26"/>
                <w:bdr w:val="none" w:color="auto" w:sz="0" w:space="0"/>
              </w:rPr>
              <w:t>Số thuế giá trị gia tăng đầu vào được khấu trừ sử dụng đồng thời cho hoạt động sản xuất, kinh doanh hàng hóa, dịch vụ xuất khẩu và tiêu thụ nội địa không hạch toán riêng được phát sinh trong các kỳ tính thuế thuộc kỳ hoàn thuế</w:t>
            </w:r>
          </w:p>
        </w:tc>
        <w:tc>
          <w:tcPr>
            <w:tcW w:w="200" w:type="pct"/>
            <w:shd w:val="clear" w:color="auto" w:fill="FFFFFF"/>
            <w:tcMar>
              <w:left w:w="100" w:type="dxa"/>
              <w:right w:w="100" w:type="dxa"/>
            </w:tcMar>
            <w:vAlign w:val="center"/>
          </w:tcPr>
          <w:p w14:paraId="5396A4D2">
            <w:pPr>
              <w:pStyle w:val="4"/>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center"/>
              <w:rPr>
                <w:rFonts w:hint="default" w:ascii="Times New Roman" w:hAnsi="Times New Roman" w:cs="Times New Roman"/>
                <w:sz w:val="26"/>
                <w:szCs w:val="26"/>
              </w:rPr>
            </w:pPr>
            <w:r>
              <w:rPr>
                <w:rFonts w:hint="default" w:ascii="Times New Roman" w:hAnsi="Times New Roman" w:cs="Times New Roman"/>
                <w:i w:val="0"/>
                <w:iCs w:val="0"/>
                <w:caps w:val="0"/>
                <w:color w:val="000000"/>
                <w:spacing w:val="0"/>
                <w:sz w:val="26"/>
                <w:szCs w:val="26"/>
                <w:bdr w:val="none" w:color="auto" w:sz="0" w:space="0"/>
              </w:rPr>
              <w:t>+</w:t>
            </w:r>
          </w:p>
        </w:tc>
        <w:tc>
          <w:tcPr>
            <w:tcW w:w="1300" w:type="pct"/>
            <w:shd w:val="clear" w:color="auto" w:fill="FFFFFF"/>
            <w:tcMar>
              <w:left w:w="100" w:type="dxa"/>
              <w:right w:w="100" w:type="dxa"/>
            </w:tcMar>
            <w:vAlign w:val="center"/>
          </w:tcPr>
          <w:p w14:paraId="692CEFD0">
            <w:pPr>
              <w:pStyle w:val="4"/>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center"/>
              <w:rPr>
                <w:rFonts w:hint="default" w:ascii="Times New Roman" w:hAnsi="Times New Roman" w:cs="Times New Roman"/>
                <w:sz w:val="26"/>
                <w:szCs w:val="26"/>
              </w:rPr>
            </w:pPr>
            <w:r>
              <w:rPr>
                <w:rFonts w:hint="default" w:ascii="Times New Roman" w:hAnsi="Times New Roman" w:cs="Times New Roman"/>
                <w:i w:val="0"/>
                <w:iCs w:val="0"/>
                <w:caps w:val="0"/>
                <w:color w:val="000000"/>
                <w:spacing w:val="0"/>
                <w:sz w:val="26"/>
                <w:szCs w:val="26"/>
                <w:bdr w:val="none" w:color="auto" w:sz="0" w:space="0"/>
              </w:rPr>
              <w:t>Chênh lệch điều chỉnh tăng, giảm số thuế giá trị gia tăng đầu vào </w:t>
            </w:r>
            <w:r>
              <w:rPr>
                <w:rFonts w:hint="default" w:ascii="Times New Roman" w:hAnsi="Times New Roman" w:cs="Times New Roman"/>
                <w:i w:val="0"/>
                <w:iCs w:val="0"/>
                <w:caps w:val="0"/>
                <w:color w:val="000000"/>
                <w:spacing w:val="0"/>
                <w:sz w:val="26"/>
                <w:szCs w:val="26"/>
                <w:bdr w:val="none" w:color="auto" w:sz="0" w:space="0"/>
                <w:lang w:val="nl"/>
              </w:rPr>
              <w:t>được khấu trừ </w:t>
            </w:r>
            <w:r>
              <w:rPr>
                <w:rFonts w:hint="default" w:ascii="Times New Roman" w:hAnsi="Times New Roman" w:cs="Times New Roman"/>
                <w:i w:val="0"/>
                <w:iCs w:val="0"/>
                <w:caps w:val="0"/>
                <w:color w:val="000000"/>
                <w:spacing w:val="0"/>
                <w:sz w:val="26"/>
                <w:szCs w:val="26"/>
                <w:bdr w:val="none" w:color="auto" w:sz="0" w:space="0"/>
              </w:rPr>
              <w:t>sử dụng đồng thời cho hoạt động sản xuất, kinh doanh hàng hóa, dịch vụ xuất khẩu và tiêu thụ nội địa không hạch toán riêng được </w:t>
            </w:r>
            <w:r>
              <w:rPr>
                <w:rFonts w:hint="default" w:ascii="Times New Roman" w:hAnsi="Times New Roman" w:cs="Times New Roman"/>
                <w:i w:val="0"/>
                <w:iCs w:val="0"/>
                <w:caps w:val="0"/>
                <w:color w:val="000000"/>
                <w:spacing w:val="0"/>
                <w:sz w:val="26"/>
                <w:szCs w:val="26"/>
                <w:bdr w:val="none" w:color="auto" w:sz="0" w:space="0"/>
                <w:lang w:val="nl"/>
              </w:rPr>
              <w:t>của các kỳ tính thuế trước kỳ hoàn thuế (5)</w:t>
            </w:r>
          </w:p>
        </w:tc>
      </w:tr>
    </w:tbl>
    <w:p w14:paraId="1F246987">
      <w:pPr>
        <w:pStyle w:val="4"/>
        <w:keepNext w:val="0"/>
        <w:keepLines w:val="0"/>
        <w:widowControl/>
        <w:suppressLineNumbers w:val="0"/>
        <w:pBdr>
          <w:left w:val="none" w:color="auto" w:sz="0" w:space="0"/>
          <w:right w:val="none" w:color="auto" w:sz="0" w:space="0"/>
        </w:pBdr>
        <w:shd w:val="clear" w:fill="FFFFFF"/>
        <w:spacing w:before="120" w:beforeAutospacing="0" w:after="120" w:afterAutospacing="0" w:line="225" w:lineRule="atLeast"/>
        <w:ind w:left="0" w:right="0" w:firstLine="0"/>
        <w:jc w:val="left"/>
        <w:rPr>
          <w:rFonts w:hint="default" w:ascii="Times New Roman" w:hAnsi="Times New Roman" w:cs="Times New Roman"/>
          <w:i w:val="0"/>
          <w:iCs w:val="0"/>
          <w:caps w:val="0"/>
          <w:color w:val="000000"/>
          <w:spacing w:val="0"/>
          <w:sz w:val="26"/>
          <w:szCs w:val="26"/>
        </w:rPr>
      </w:pPr>
      <w:r>
        <w:rPr>
          <w:rFonts w:hint="default" w:ascii="Times New Roman" w:hAnsi="Times New Roman" w:cs="Times New Roman"/>
          <w:i w:val="0"/>
          <w:iCs w:val="0"/>
          <w:caps w:val="0"/>
          <w:color w:val="000000"/>
          <w:spacing w:val="0"/>
          <w:sz w:val="26"/>
          <w:szCs w:val="26"/>
          <w:bdr w:val="none" w:color="auto" w:sz="0" w:space="0"/>
          <w:shd w:val="clear" w:fill="FFFFFF"/>
        </w:rPr>
        <w:t>Trong đó:</w:t>
      </w:r>
    </w:p>
    <w:p w14:paraId="37C56F03">
      <w:pPr>
        <w:pStyle w:val="4"/>
        <w:keepNext w:val="0"/>
        <w:keepLines w:val="0"/>
        <w:widowControl/>
        <w:suppressLineNumbers w:val="0"/>
        <w:pBdr>
          <w:left w:val="none" w:color="auto" w:sz="0" w:space="0"/>
          <w:right w:val="none" w:color="auto" w:sz="0" w:space="0"/>
        </w:pBdr>
        <w:shd w:val="clear" w:fill="FFFFFF"/>
        <w:spacing w:before="120" w:beforeAutospacing="0" w:after="120" w:afterAutospacing="0" w:line="225" w:lineRule="atLeast"/>
        <w:ind w:left="0" w:right="0" w:firstLine="0"/>
        <w:jc w:val="left"/>
        <w:rPr>
          <w:rFonts w:hint="default" w:ascii="Times New Roman" w:hAnsi="Times New Roman" w:cs="Times New Roman"/>
          <w:i w:val="0"/>
          <w:iCs w:val="0"/>
          <w:caps w:val="0"/>
          <w:color w:val="000000"/>
          <w:spacing w:val="0"/>
          <w:sz w:val="26"/>
          <w:szCs w:val="26"/>
        </w:rPr>
      </w:pPr>
      <w:r>
        <w:rPr>
          <w:rFonts w:hint="default" w:ascii="Times New Roman" w:hAnsi="Times New Roman" w:cs="Times New Roman"/>
          <w:i w:val="0"/>
          <w:iCs w:val="0"/>
          <w:caps w:val="0"/>
          <w:color w:val="000000"/>
          <w:spacing w:val="0"/>
          <w:sz w:val="26"/>
          <w:szCs w:val="26"/>
          <w:bdr w:val="none" w:color="auto" w:sz="0" w:space="0"/>
          <w:shd w:val="clear" w:fill="FFFFFF"/>
        </w:rPr>
        <w:t>Chênh lệch điều chỉnh tăng, giảm số thuế giá trị gia tăng đầu vào </w:t>
      </w:r>
      <w:r>
        <w:rPr>
          <w:rFonts w:hint="default" w:ascii="Times New Roman" w:hAnsi="Times New Roman" w:cs="Times New Roman"/>
          <w:i w:val="0"/>
          <w:iCs w:val="0"/>
          <w:caps w:val="0"/>
          <w:color w:val="000000"/>
          <w:spacing w:val="0"/>
          <w:sz w:val="26"/>
          <w:szCs w:val="26"/>
          <w:bdr w:val="none" w:color="auto" w:sz="0" w:space="0"/>
          <w:shd w:val="clear" w:fill="FFFFFF"/>
          <w:lang w:val="nl"/>
        </w:rPr>
        <w:t>được khấu trừ </w:t>
      </w:r>
      <w:r>
        <w:rPr>
          <w:rFonts w:hint="default" w:ascii="Times New Roman" w:hAnsi="Times New Roman" w:cs="Times New Roman"/>
          <w:i w:val="0"/>
          <w:iCs w:val="0"/>
          <w:caps w:val="0"/>
          <w:color w:val="000000"/>
          <w:spacing w:val="0"/>
          <w:sz w:val="26"/>
          <w:szCs w:val="26"/>
          <w:bdr w:val="none" w:color="auto" w:sz="0" w:space="0"/>
          <w:shd w:val="clear" w:fill="FFFFFF"/>
        </w:rPr>
        <w:t>sử dụng cho sản xuất, kinh doanh hàng hóa, dịch vụ xuất khẩu hạch toán riêng được </w:t>
      </w:r>
      <w:r>
        <w:rPr>
          <w:rFonts w:hint="default" w:ascii="Times New Roman" w:hAnsi="Times New Roman" w:cs="Times New Roman"/>
          <w:i w:val="0"/>
          <w:iCs w:val="0"/>
          <w:caps w:val="0"/>
          <w:color w:val="000000"/>
          <w:spacing w:val="0"/>
          <w:sz w:val="26"/>
          <w:szCs w:val="26"/>
          <w:bdr w:val="none" w:color="auto" w:sz="0" w:space="0"/>
          <w:shd w:val="clear" w:fill="FFFFFF"/>
          <w:lang w:val="nl"/>
        </w:rPr>
        <w:t>của các kỳ tính thuế trước kỳ hoàn thuế (4) = Điều chỉnh tăng </w:t>
      </w:r>
      <w:r>
        <w:rPr>
          <w:rFonts w:hint="default" w:ascii="Times New Roman" w:hAnsi="Times New Roman" w:cs="Times New Roman"/>
          <w:i w:val="0"/>
          <w:iCs w:val="0"/>
          <w:caps w:val="0"/>
          <w:color w:val="000000"/>
          <w:spacing w:val="0"/>
          <w:sz w:val="26"/>
          <w:szCs w:val="26"/>
          <w:bdr w:val="none" w:color="auto" w:sz="0" w:space="0"/>
          <w:shd w:val="clear" w:fill="FFFFFF"/>
        </w:rPr>
        <w:t>số thuế giá trị gia tăng đầu vào </w:t>
      </w:r>
      <w:r>
        <w:rPr>
          <w:rFonts w:hint="default" w:ascii="Times New Roman" w:hAnsi="Times New Roman" w:cs="Times New Roman"/>
          <w:i w:val="0"/>
          <w:iCs w:val="0"/>
          <w:caps w:val="0"/>
          <w:color w:val="000000"/>
          <w:spacing w:val="0"/>
          <w:sz w:val="26"/>
          <w:szCs w:val="26"/>
          <w:bdr w:val="none" w:color="auto" w:sz="0" w:space="0"/>
          <w:shd w:val="clear" w:fill="FFFFFF"/>
          <w:lang w:val="nl"/>
        </w:rPr>
        <w:t>được khấu trừ </w:t>
      </w:r>
      <w:r>
        <w:rPr>
          <w:rFonts w:hint="default" w:ascii="Times New Roman" w:hAnsi="Times New Roman" w:cs="Times New Roman"/>
          <w:i w:val="0"/>
          <w:iCs w:val="0"/>
          <w:caps w:val="0"/>
          <w:color w:val="000000"/>
          <w:spacing w:val="0"/>
          <w:sz w:val="26"/>
          <w:szCs w:val="26"/>
          <w:bdr w:val="none" w:color="auto" w:sz="0" w:space="0"/>
          <w:shd w:val="clear" w:fill="FFFFFF"/>
        </w:rPr>
        <w:t>sử dụng cho sản xuất, kinh doanh hàng hóa, dịch vụ xuất khẩu hạch toán riêng được</w:t>
      </w:r>
      <w:r>
        <w:rPr>
          <w:rFonts w:hint="default" w:ascii="Times New Roman" w:hAnsi="Times New Roman" w:cs="Times New Roman"/>
          <w:i w:val="0"/>
          <w:iCs w:val="0"/>
          <w:caps w:val="0"/>
          <w:color w:val="000000"/>
          <w:spacing w:val="0"/>
          <w:sz w:val="26"/>
          <w:szCs w:val="26"/>
          <w:bdr w:val="none" w:color="auto" w:sz="0" w:space="0"/>
          <w:shd w:val="clear" w:fill="FFFFFF"/>
          <w:lang w:val="nl"/>
        </w:rPr>
        <w:t> của các kỳ tính thuế trước kỳ hoàn thuế trừ (-) Điều chỉnh giảm </w:t>
      </w:r>
      <w:r>
        <w:rPr>
          <w:rFonts w:hint="default" w:ascii="Times New Roman" w:hAnsi="Times New Roman" w:cs="Times New Roman"/>
          <w:i w:val="0"/>
          <w:iCs w:val="0"/>
          <w:caps w:val="0"/>
          <w:color w:val="000000"/>
          <w:spacing w:val="0"/>
          <w:sz w:val="26"/>
          <w:szCs w:val="26"/>
          <w:bdr w:val="none" w:color="auto" w:sz="0" w:space="0"/>
          <w:shd w:val="clear" w:fill="FFFFFF"/>
        </w:rPr>
        <w:t>số thuế giá trị gia tăng đầu vào </w:t>
      </w:r>
      <w:r>
        <w:rPr>
          <w:rFonts w:hint="default" w:ascii="Times New Roman" w:hAnsi="Times New Roman" w:cs="Times New Roman"/>
          <w:i w:val="0"/>
          <w:iCs w:val="0"/>
          <w:caps w:val="0"/>
          <w:color w:val="000000"/>
          <w:spacing w:val="0"/>
          <w:sz w:val="26"/>
          <w:szCs w:val="26"/>
          <w:bdr w:val="none" w:color="auto" w:sz="0" w:space="0"/>
          <w:shd w:val="clear" w:fill="FFFFFF"/>
          <w:lang w:val="nl"/>
        </w:rPr>
        <w:t>được khấu trừ </w:t>
      </w:r>
      <w:r>
        <w:rPr>
          <w:rFonts w:hint="default" w:ascii="Times New Roman" w:hAnsi="Times New Roman" w:cs="Times New Roman"/>
          <w:i w:val="0"/>
          <w:iCs w:val="0"/>
          <w:caps w:val="0"/>
          <w:color w:val="000000"/>
          <w:spacing w:val="0"/>
          <w:sz w:val="26"/>
          <w:szCs w:val="26"/>
          <w:bdr w:val="none" w:color="auto" w:sz="0" w:space="0"/>
          <w:shd w:val="clear" w:fill="FFFFFF"/>
        </w:rPr>
        <w:t>sử dụng cho sản xuất, kinh doanh hàng hóa, dịch vụ xuất khẩu hạch toán riêng được </w:t>
      </w:r>
      <w:r>
        <w:rPr>
          <w:rFonts w:hint="default" w:ascii="Times New Roman" w:hAnsi="Times New Roman" w:cs="Times New Roman"/>
          <w:i w:val="0"/>
          <w:iCs w:val="0"/>
          <w:caps w:val="0"/>
          <w:color w:val="000000"/>
          <w:spacing w:val="0"/>
          <w:sz w:val="26"/>
          <w:szCs w:val="26"/>
          <w:bdr w:val="none" w:color="auto" w:sz="0" w:space="0"/>
          <w:shd w:val="clear" w:fill="FFFFFF"/>
          <w:lang w:val="nl"/>
        </w:rPr>
        <w:t>của các kỳ tính thuế trước kỳ hoàn thuế</w:t>
      </w:r>
      <w:r>
        <w:rPr>
          <w:rFonts w:hint="default" w:ascii="Times New Roman" w:hAnsi="Times New Roman" w:cs="Times New Roman"/>
          <w:i w:val="0"/>
          <w:iCs w:val="0"/>
          <w:caps w:val="0"/>
          <w:color w:val="000000"/>
          <w:spacing w:val="0"/>
          <w:sz w:val="26"/>
          <w:szCs w:val="26"/>
          <w:bdr w:val="none" w:color="auto" w:sz="0" w:space="0"/>
          <w:shd w:val="clear" w:fill="FFFFFF"/>
        </w:rPr>
        <w:t>.</w:t>
      </w:r>
    </w:p>
    <w:p w14:paraId="27E27D6E">
      <w:pPr>
        <w:pStyle w:val="4"/>
        <w:keepNext w:val="0"/>
        <w:keepLines w:val="0"/>
        <w:widowControl/>
        <w:suppressLineNumbers w:val="0"/>
        <w:pBdr>
          <w:left w:val="none" w:color="auto" w:sz="0" w:space="0"/>
          <w:right w:val="none" w:color="auto" w:sz="0" w:space="0"/>
        </w:pBdr>
        <w:shd w:val="clear" w:fill="FFFFFF"/>
        <w:spacing w:before="120" w:beforeAutospacing="0" w:after="120" w:afterAutospacing="0" w:line="225" w:lineRule="atLeast"/>
        <w:ind w:left="0" w:right="0" w:firstLine="0"/>
        <w:jc w:val="left"/>
        <w:rPr>
          <w:rFonts w:hint="default" w:ascii="Times New Roman" w:hAnsi="Times New Roman" w:cs="Times New Roman"/>
          <w:i w:val="0"/>
          <w:iCs w:val="0"/>
          <w:caps w:val="0"/>
          <w:color w:val="000000"/>
          <w:spacing w:val="0"/>
          <w:sz w:val="26"/>
          <w:szCs w:val="26"/>
        </w:rPr>
      </w:pPr>
      <w:r>
        <w:rPr>
          <w:rFonts w:hint="default" w:ascii="Times New Roman" w:hAnsi="Times New Roman" w:cs="Times New Roman"/>
          <w:i w:val="0"/>
          <w:iCs w:val="0"/>
          <w:caps w:val="0"/>
          <w:color w:val="000000"/>
          <w:spacing w:val="0"/>
          <w:sz w:val="26"/>
          <w:szCs w:val="26"/>
          <w:bdr w:val="none" w:color="auto" w:sz="0" w:space="0"/>
          <w:shd w:val="clear" w:fill="FFFFFF"/>
        </w:rPr>
        <w:t>Chênh lệch điều chỉnh tăng, giảm số thuế giá trị gia tăng đầu vào </w:t>
      </w:r>
      <w:r>
        <w:rPr>
          <w:rFonts w:hint="default" w:ascii="Times New Roman" w:hAnsi="Times New Roman" w:cs="Times New Roman"/>
          <w:i w:val="0"/>
          <w:iCs w:val="0"/>
          <w:caps w:val="0"/>
          <w:color w:val="000000"/>
          <w:spacing w:val="0"/>
          <w:sz w:val="26"/>
          <w:szCs w:val="26"/>
          <w:bdr w:val="none" w:color="auto" w:sz="0" w:space="0"/>
          <w:shd w:val="clear" w:fill="FFFFFF"/>
          <w:lang w:val="nl"/>
        </w:rPr>
        <w:t>được khấu trừ </w:t>
      </w:r>
      <w:r>
        <w:rPr>
          <w:rFonts w:hint="default" w:ascii="Times New Roman" w:hAnsi="Times New Roman" w:cs="Times New Roman"/>
          <w:i w:val="0"/>
          <w:iCs w:val="0"/>
          <w:caps w:val="0"/>
          <w:color w:val="000000"/>
          <w:spacing w:val="0"/>
          <w:sz w:val="26"/>
          <w:szCs w:val="26"/>
          <w:bdr w:val="none" w:color="auto" w:sz="0" w:space="0"/>
          <w:shd w:val="clear" w:fill="FFFFFF"/>
        </w:rPr>
        <w:t>sử dụng đồng thời cho hoạt động sản xuất, kinh doanh hàng hóa, dịch vụ xuất khẩu và tiêu thụ nội địa không hạch toán riêng được </w:t>
      </w:r>
      <w:r>
        <w:rPr>
          <w:rFonts w:hint="default" w:ascii="Times New Roman" w:hAnsi="Times New Roman" w:cs="Times New Roman"/>
          <w:i w:val="0"/>
          <w:iCs w:val="0"/>
          <w:caps w:val="0"/>
          <w:color w:val="000000"/>
          <w:spacing w:val="0"/>
          <w:sz w:val="26"/>
          <w:szCs w:val="26"/>
          <w:bdr w:val="none" w:color="auto" w:sz="0" w:space="0"/>
          <w:shd w:val="clear" w:fill="FFFFFF"/>
          <w:lang w:val="nl"/>
        </w:rPr>
        <w:t>của các kỳ tính thuế trước kỳ hoàn thuế (5) = Điều chỉnh tăng </w:t>
      </w:r>
      <w:r>
        <w:rPr>
          <w:rFonts w:hint="default" w:ascii="Times New Roman" w:hAnsi="Times New Roman" w:cs="Times New Roman"/>
          <w:i w:val="0"/>
          <w:iCs w:val="0"/>
          <w:caps w:val="0"/>
          <w:color w:val="000000"/>
          <w:spacing w:val="0"/>
          <w:sz w:val="26"/>
          <w:szCs w:val="26"/>
          <w:bdr w:val="none" w:color="auto" w:sz="0" w:space="0"/>
          <w:shd w:val="clear" w:fill="FFFFFF"/>
        </w:rPr>
        <w:t>số thuế giá trị gia tăng đầu vào </w:t>
      </w:r>
      <w:r>
        <w:rPr>
          <w:rFonts w:hint="default" w:ascii="Times New Roman" w:hAnsi="Times New Roman" w:cs="Times New Roman"/>
          <w:i w:val="0"/>
          <w:iCs w:val="0"/>
          <w:caps w:val="0"/>
          <w:color w:val="000000"/>
          <w:spacing w:val="0"/>
          <w:sz w:val="26"/>
          <w:szCs w:val="26"/>
          <w:bdr w:val="none" w:color="auto" w:sz="0" w:space="0"/>
          <w:shd w:val="clear" w:fill="FFFFFF"/>
          <w:lang w:val="nl"/>
        </w:rPr>
        <w:t>được khấu trừ </w:t>
      </w:r>
      <w:r>
        <w:rPr>
          <w:rFonts w:hint="default" w:ascii="Times New Roman" w:hAnsi="Times New Roman" w:cs="Times New Roman"/>
          <w:i w:val="0"/>
          <w:iCs w:val="0"/>
          <w:caps w:val="0"/>
          <w:color w:val="000000"/>
          <w:spacing w:val="0"/>
          <w:sz w:val="26"/>
          <w:szCs w:val="26"/>
          <w:bdr w:val="none" w:color="auto" w:sz="0" w:space="0"/>
          <w:shd w:val="clear" w:fill="FFFFFF"/>
        </w:rPr>
        <w:t>sử dụng đồng thời cho hoạt động sản xuất, kinh doanh hàng hóa, dịch vụ xuất khẩu và tiêu thụ nội địa không hạch toán riêng được </w:t>
      </w:r>
      <w:r>
        <w:rPr>
          <w:rFonts w:hint="default" w:ascii="Times New Roman" w:hAnsi="Times New Roman" w:cs="Times New Roman"/>
          <w:i w:val="0"/>
          <w:iCs w:val="0"/>
          <w:caps w:val="0"/>
          <w:color w:val="000000"/>
          <w:spacing w:val="0"/>
          <w:sz w:val="26"/>
          <w:szCs w:val="26"/>
          <w:bdr w:val="none" w:color="auto" w:sz="0" w:space="0"/>
          <w:shd w:val="clear" w:fill="FFFFFF"/>
          <w:lang w:val="nl"/>
        </w:rPr>
        <w:t>của các kỳ tính thuế trước kỳ hoàn thuế trừ (-) Điều chỉnh giảm </w:t>
      </w:r>
      <w:r>
        <w:rPr>
          <w:rFonts w:hint="default" w:ascii="Times New Roman" w:hAnsi="Times New Roman" w:cs="Times New Roman"/>
          <w:i w:val="0"/>
          <w:iCs w:val="0"/>
          <w:caps w:val="0"/>
          <w:color w:val="000000"/>
          <w:spacing w:val="0"/>
          <w:sz w:val="26"/>
          <w:szCs w:val="26"/>
          <w:bdr w:val="none" w:color="auto" w:sz="0" w:space="0"/>
          <w:shd w:val="clear" w:fill="FFFFFF"/>
        </w:rPr>
        <w:t>số thuế giá trị gia tăng đầu vào </w:t>
      </w:r>
      <w:r>
        <w:rPr>
          <w:rFonts w:hint="default" w:ascii="Times New Roman" w:hAnsi="Times New Roman" w:cs="Times New Roman"/>
          <w:i w:val="0"/>
          <w:iCs w:val="0"/>
          <w:caps w:val="0"/>
          <w:color w:val="000000"/>
          <w:spacing w:val="0"/>
          <w:sz w:val="26"/>
          <w:szCs w:val="26"/>
          <w:bdr w:val="none" w:color="auto" w:sz="0" w:space="0"/>
          <w:shd w:val="clear" w:fill="FFFFFF"/>
          <w:lang w:val="nl"/>
        </w:rPr>
        <w:t>được khấu trừ </w:t>
      </w:r>
      <w:r>
        <w:rPr>
          <w:rFonts w:hint="default" w:ascii="Times New Roman" w:hAnsi="Times New Roman" w:cs="Times New Roman"/>
          <w:i w:val="0"/>
          <w:iCs w:val="0"/>
          <w:caps w:val="0"/>
          <w:color w:val="000000"/>
          <w:spacing w:val="0"/>
          <w:sz w:val="26"/>
          <w:szCs w:val="26"/>
          <w:bdr w:val="none" w:color="auto" w:sz="0" w:space="0"/>
          <w:shd w:val="clear" w:fill="FFFFFF"/>
        </w:rPr>
        <w:t>sử dụng đồng thời cho hoạt động sản xuất, kinh doanh hàng hóa, dịch vụ xuất khẩu và tiêu thụ nội địa không hạch toán riêng được </w:t>
      </w:r>
      <w:r>
        <w:rPr>
          <w:rFonts w:hint="default" w:ascii="Times New Roman" w:hAnsi="Times New Roman" w:cs="Times New Roman"/>
          <w:i w:val="0"/>
          <w:iCs w:val="0"/>
          <w:caps w:val="0"/>
          <w:color w:val="000000"/>
          <w:spacing w:val="0"/>
          <w:sz w:val="26"/>
          <w:szCs w:val="26"/>
          <w:bdr w:val="none" w:color="auto" w:sz="0" w:space="0"/>
          <w:shd w:val="clear" w:fill="FFFFFF"/>
          <w:lang w:val="nl"/>
        </w:rPr>
        <w:t>của các kỳ tính thuế trước kỳ hoàn thuế</w:t>
      </w:r>
      <w:r>
        <w:rPr>
          <w:rFonts w:hint="default" w:ascii="Times New Roman" w:hAnsi="Times New Roman" w:cs="Times New Roman"/>
          <w:i w:val="0"/>
          <w:iCs w:val="0"/>
          <w:caps w:val="0"/>
          <w:color w:val="000000"/>
          <w:spacing w:val="0"/>
          <w:sz w:val="26"/>
          <w:szCs w:val="26"/>
          <w:bdr w:val="none" w:color="auto" w:sz="0" w:space="0"/>
          <w:shd w:val="clear" w:fill="FFFFFF"/>
        </w:rPr>
        <w:t>.</w:t>
      </w:r>
    </w:p>
    <w:p w14:paraId="39135631">
      <w:pPr>
        <w:pStyle w:val="4"/>
        <w:keepNext w:val="0"/>
        <w:keepLines w:val="0"/>
        <w:widowControl/>
        <w:suppressLineNumbers w:val="0"/>
        <w:pBdr>
          <w:left w:val="none" w:color="auto" w:sz="0" w:space="0"/>
          <w:right w:val="none" w:color="auto" w:sz="0" w:space="0"/>
        </w:pBdr>
        <w:shd w:val="clear" w:fill="FFFFFF"/>
        <w:spacing w:before="120" w:beforeAutospacing="0" w:after="120" w:afterAutospacing="0" w:line="225" w:lineRule="atLeast"/>
        <w:ind w:left="0" w:right="0" w:firstLine="0"/>
        <w:jc w:val="left"/>
        <w:rPr>
          <w:rFonts w:hint="default" w:ascii="Times New Roman" w:hAnsi="Times New Roman" w:cs="Times New Roman"/>
          <w:i w:val="0"/>
          <w:iCs w:val="0"/>
          <w:caps w:val="0"/>
          <w:color w:val="000000"/>
          <w:spacing w:val="0"/>
          <w:sz w:val="26"/>
          <w:szCs w:val="26"/>
        </w:rPr>
      </w:pPr>
      <w:r>
        <w:rPr>
          <w:rFonts w:hint="default" w:ascii="Times New Roman" w:hAnsi="Times New Roman" w:cs="Times New Roman"/>
          <w:i w:val="0"/>
          <w:iCs w:val="0"/>
          <w:caps w:val="0"/>
          <w:color w:val="000000"/>
          <w:spacing w:val="0"/>
          <w:sz w:val="26"/>
          <w:szCs w:val="26"/>
          <w:bdr w:val="none" w:color="auto" w:sz="0" w:space="0"/>
          <w:shd w:val="clear" w:fill="FFFFFF"/>
        </w:rPr>
        <w:t>Nếu số thuế giá trị gia tăng đầu vào được khấu trừ sử dụng cho sản xuất, kinh doanh hàng hóa, dịch vụ xuất khẩu</w:t>
      </w:r>
      <w:r>
        <w:rPr>
          <w:rFonts w:hint="default" w:ascii="Times New Roman" w:hAnsi="Times New Roman" w:cs="Times New Roman"/>
          <w:i w:val="0"/>
          <w:iCs w:val="0"/>
          <w:caps w:val="0"/>
          <w:color w:val="000000"/>
          <w:spacing w:val="0"/>
          <w:sz w:val="26"/>
          <w:szCs w:val="26"/>
          <w:bdr w:val="none" w:color="auto" w:sz="0" w:space="0"/>
          <w:shd w:val="clear" w:fill="FFFFFF"/>
          <w:lang w:val="nl"/>
        </w:rPr>
        <w:t> của kỳ hoàn thuế (1)</w:t>
      </w:r>
      <w:r>
        <w:rPr>
          <w:rFonts w:hint="default" w:ascii="Times New Roman" w:hAnsi="Times New Roman" w:cs="Times New Roman"/>
          <w:i w:val="0"/>
          <w:iCs w:val="0"/>
          <w:caps w:val="0"/>
          <w:color w:val="000000"/>
          <w:spacing w:val="0"/>
          <w:sz w:val="26"/>
          <w:szCs w:val="26"/>
          <w:bdr w:val="none" w:color="auto" w:sz="0" w:space="0"/>
          <w:shd w:val="clear" w:fill="FFFFFF"/>
        </w:rPr>
        <w:t> nêu trên sau khi bù trừ với số thuế giá trị gia tăng phải nộp của hàng hóa, dịch vụ tiêu thụ nội địa còn lại từ 300 triệu đồng trở lên thì cơ sở kinh doanh được hoàn thuế cho hàng hóa, dịch vụ xuất khẩu. Số thuế giá trị gia tăng được hoàn của hàng hóa, dịch vụ xuất khẩu không vượt quá 10% doanh thu của hàng hóa, dịch vụ xuất khẩu (trừ doanh thu của hàng hóa nhập khẩu sau đó xuất khẩu sang nước khác) của kỳ hoàn thuế.</w:t>
      </w:r>
    </w:p>
    <w:p w14:paraId="40732D97">
      <w:pPr>
        <w:rPr>
          <w:rFonts w:hint="default" w:ascii="Times New Roman" w:hAnsi="Times New Roman" w:cs="Times New Roman"/>
          <w:sz w:val="26"/>
          <w:szCs w:val="26"/>
        </w:rPr>
      </w:pPr>
    </w:p>
    <w:sectPr>
      <w:pgSz w:w="11906" w:h="16838"/>
      <w:pgMar w:top="1440" w:right="1800" w:bottom="1440" w:left="1800" w:header="720" w:footer="720" w:gutter="0"/>
      <w:cols w:space="720"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altName w:val="Microsoft YaHei"/>
    <w:panose1 w:val="00000000000000000000"/>
    <w:charset w:val="86"/>
    <w:family w:val="auto"/>
    <w:pitch w:val="default"/>
    <w:sig w:usb0="00000000" w:usb1="00000000" w:usb2="00000000" w:usb3="00000000" w:csb0="0000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0"/>
  <w:bordersDoNotSurroundFooter w:val="0"/>
  <w:documentProtection w:enforcement="0"/>
  <w:defaultTabStop w:val="720"/>
  <w:drawingGridVerticalSpacing w:val="156"/>
  <w:displayHorizontalDrawingGridEvery w:val="1"/>
  <w:displayVerticalDrawingGridEvery w:val="1"/>
  <w:noPunctuationKerning w:val="1"/>
  <w:characterSpacingControl w:val="doNotCompress"/>
  <w:compat>
    <w:spaceForUL/>
    <w:doNotLeaveBackslashAlone/>
    <w:ulTrailSpace/>
    <w:doNotExpandShiftReturn/>
    <w:adjustLineHeightInTable/>
    <w:doNotWrapTextWithPunct/>
    <w:doNotUseEastAsian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16B0E14"/>
    <w:rsid w:val="616B0E1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SimSun"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heme="minorHAnsi" w:hAnsiTheme="minorHAnsi" w:eastAsiaTheme="minorEastAsia" w:cstheme="minorBidi"/>
      <w:lang w:val="en-US" w:eastAsia="zh-CN" w:bidi="ar-SA"/>
    </w:rPr>
  </w:style>
  <w:style w:type="character" w:default="1" w:styleId="2">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4">
    <w:name w:val="Normal (Web)"/>
    <w:uiPriority w:val="0"/>
    <w:pPr>
      <w:spacing w:before="0" w:beforeAutospacing="1" w:after="0" w:afterAutospacing="1"/>
      <w:ind w:left="0" w:right="0"/>
      <w:jc w:val="left"/>
    </w:pPr>
    <w:rPr>
      <w:kern w:val="0"/>
      <w:sz w:val="24"/>
      <w:szCs w:val="24"/>
      <w:lang w:val="en-US" w:eastAsia="zh-CN" w:bidi="ar"/>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0</Words>
  <Characters>0</Characters>
  <Lines>0</Lines>
  <Paragraphs>0</Paragraphs>
  <TotalTime>0</TotalTime>
  <ScaleCrop>false</ScaleCrop>
  <LinksUpToDate>false</LinksUpToDate>
  <CharactersWithSpaces>0</CharactersWithSpaces>
  <Application>WPS Office_12.1.0.28485_F1E327BC-269C-435d-A152-05C5408002CA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2026-09-23T01:56:00Z</dcterms:created>
  <dc:creator>Ý Phan Thị Như</dc:creator>
  <cp:lastModifiedBy>Ý Phan Thị Như</cp:lastModifiedBy>
  <dcterms:modified xsi:type="dcterms:W3CDTF">2026-09-23T01:57:07Z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1033-12.1.0.28485</vt:lpwstr>
  </property>
  <property fmtid="{D5CDD505-2E9C-101B-9397-08002B2CF9AE}" pid="3" name="ICV">
    <vt:lpwstr>A6AEAF5F180A4894886B7838D32ECB46_11</vt:lpwstr>
  </property>
  <property fmtid="{D5CDD505-2E9C-101B-9397-08002B2CF9AE}" pid="4" name="KSOTemplateDocerSaveRecord">
    <vt:lpwstr>eyJoZGlkIjoiMTVlY2JjYWQ2YWExMDk4YTcyYjFlZTlmZmI3ODNlNWUiLCJ1c2VySWQiOiIxMzc0MzkzNjc5NzE5In0=</vt:lpwstr>
  </property>
</Properties>
</file>