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3DD" w:rsidRPr="005123DD" w:rsidRDefault="005123DD" w:rsidP="005123DD">
      <w:pPr>
        <w:shd w:val="clear" w:color="auto" w:fill="FFFFFF"/>
        <w:spacing w:after="0" w:line="234" w:lineRule="atLeast"/>
        <w:jc w:val="center"/>
        <w:rPr>
          <w:rFonts w:ascii="Arial" w:eastAsia="Times New Roman" w:hAnsi="Arial" w:cs="Arial"/>
          <w:color w:val="000000"/>
          <w:sz w:val="18"/>
          <w:szCs w:val="18"/>
        </w:rPr>
      </w:pPr>
      <w:bookmarkStart w:id="0" w:name="chuong_pl_1"/>
      <w:r w:rsidRPr="005123DD">
        <w:rPr>
          <w:rFonts w:ascii="Arial" w:eastAsia="Times New Roman" w:hAnsi="Arial" w:cs="Arial"/>
          <w:b/>
          <w:bCs/>
          <w:color w:val="000000"/>
          <w:sz w:val="24"/>
          <w:szCs w:val="24"/>
        </w:rPr>
        <w:t>PHỤ LỤC I</w:t>
      </w:r>
      <w:bookmarkEnd w:id="0"/>
    </w:p>
    <w:p w:rsidR="005123DD" w:rsidRPr="005123DD" w:rsidRDefault="005123DD" w:rsidP="005123DD">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5123DD">
        <w:rPr>
          <w:rFonts w:ascii="Arial" w:eastAsia="Times New Roman" w:hAnsi="Arial" w:cs="Arial"/>
          <w:i/>
          <w:iCs/>
          <w:color w:val="000000"/>
          <w:sz w:val="18"/>
          <w:szCs w:val="18"/>
        </w:rPr>
        <w:t>MỨC PHÍ BẢO HIỂM VÀ MỨC KHẤU TRỪ BẢO HIỂM CHÁY, NỔ BẮT BUỘC</w:t>
      </w:r>
      <w:bookmarkEnd w:id="1"/>
    </w:p>
    <w:p w:rsidR="005123DD" w:rsidRPr="005123DD" w:rsidRDefault="005123DD" w:rsidP="005123DD">
      <w:pPr>
        <w:shd w:val="clear" w:color="auto" w:fill="FFFFFF"/>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i/>
          <w:iCs/>
          <w:color w:val="000000"/>
          <w:sz w:val="18"/>
          <w:szCs w:val="18"/>
        </w:rPr>
        <w:t> (Kèm theo Nghị định </w:t>
      </w:r>
      <w:r w:rsidRPr="005123DD">
        <w:rPr>
          <w:rFonts w:ascii="Arial" w:eastAsia="Times New Roman" w:hAnsi="Arial" w:cs="Arial"/>
          <w:i/>
          <w:iCs/>
          <w:color w:val="000000"/>
          <w:sz w:val="18"/>
          <w:szCs w:val="18"/>
          <w:lang w:val="vi-VN"/>
        </w:rPr>
        <w:t>số 97/2021/NĐ-CP</w:t>
      </w:r>
      <w:r w:rsidRPr="005123DD">
        <w:rPr>
          <w:rFonts w:ascii="Arial" w:eastAsia="Times New Roman" w:hAnsi="Arial" w:cs="Arial"/>
          <w:i/>
          <w:iCs/>
          <w:color w:val="000000"/>
          <w:sz w:val="18"/>
          <w:szCs w:val="18"/>
        </w:rPr>
        <w:t> ngày 08 tháng 11 năm </w:t>
      </w:r>
      <w:r w:rsidRPr="005123DD">
        <w:rPr>
          <w:rFonts w:ascii="Arial" w:eastAsia="Times New Roman" w:hAnsi="Arial" w:cs="Arial"/>
          <w:color w:val="000000"/>
          <w:sz w:val="18"/>
          <w:szCs w:val="18"/>
          <w:lang w:val="vi-VN"/>
        </w:rPr>
        <w:t>2021 của Chính phủ)</w:t>
      </w:r>
    </w:p>
    <w:p w:rsidR="005123DD" w:rsidRPr="005123DD" w:rsidRDefault="005123DD" w:rsidP="005123DD">
      <w:pPr>
        <w:shd w:val="clear" w:color="auto" w:fill="FFFFFF"/>
        <w:spacing w:after="0" w:line="234" w:lineRule="atLeast"/>
        <w:rPr>
          <w:rFonts w:ascii="Arial" w:eastAsia="Times New Roman" w:hAnsi="Arial" w:cs="Arial"/>
          <w:color w:val="000000"/>
          <w:sz w:val="18"/>
          <w:szCs w:val="18"/>
        </w:rPr>
      </w:pPr>
      <w:bookmarkStart w:id="2" w:name="muc_1"/>
      <w:r w:rsidRPr="005123DD">
        <w:rPr>
          <w:rFonts w:ascii="Arial" w:eastAsia="Times New Roman" w:hAnsi="Arial" w:cs="Arial"/>
          <w:b/>
          <w:bCs/>
          <w:color w:val="000000"/>
          <w:sz w:val="18"/>
          <w:szCs w:val="18"/>
          <w:lang w:val="vi-VN"/>
        </w:rPr>
        <w:t>I. MỨC PHÍ BẢO HIỂM (CHƯA BAO GỒM THUẾ GTGT)</w:t>
      </w:r>
      <w:bookmarkEnd w:id="2"/>
    </w:p>
    <w:p w:rsidR="005123DD" w:rsidRPr="005123DD" w:rsidRDefault="005123DD" w:rsidP="005123DD">
      <w:pPr>
        <w:shd w:val="clear" w:color="auto" w:fill="FFFFFF"/>
        <w:spacing w:after="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1. Đối với cơ sở có nguy hiểm về cháy, nổ (trừ cơ sở hạt nhân) quy định tại Phụ lục II ban hành kèm theo </w:t>
      </w:r>
      <w:hyperlink r:id="rId4" w:tgtFrame="_blank" w:history="1">
        <w:r w:rsidRPr="005123DD">
          <w:rPr>
            <w:rFonts w:ascii="Arial" w:eastAsia="Times New Roman" w:hAnsi="Arial" w:cs="Arial"/>
            <w:color w:val="0E70C3"/>
            <w:sz w:val="18"/>
            <w:szCs w:val="18"/>
            <w:lang w:val="vi-VN"/>
          </w:rPr>
          <w:t>Nghị định số </w:t>
        </w:r>
      </w:hyperlink>
      <w:hyperlink r:id="rId5" w:tgtFrame="_blank" w:history="1">
        <w:r w:rsidRPr="005123DD">
          <w:rPr>
            <w:rFonts w:ascii="Arial" w:eastAsia="Times New Roman" w:hAnsi="Arial" w:cs="Arial"/>
            <w:color w:val="0E70C3"/>
            <w:sz w:val="18"/>
            <w:szCs w:val="18"/>
          </w:rPr>
          <w:t>136/2020/NĐ-CP</w:t>
        </w:r>
      </w:hyperlink>
      <w:r w:rsidRPr="005123DD">
        <w:rPr>
          <w:rFonts w:ascii="Arial" w:eastAsia="Times New Roman" w:hAnsi="Arial" w:cs="Arial"/>
          <w:color w:val="000000"/>
          <w:sz w:val="18"/>
          <w:szCs w:val="18"/>
        </w:rPr>
        <w:t> </w:t>
      </w:r>
      <w:r w:rsidRPr="005123DD">
        <w:rPr>
          <w:rFonts w:ascii="Arial" w:eastAsia="Times New Roman" w:hAnsi="Arial" w:cs="Arial"/>
          <w:color w:val="000000"/>
          <w:sz w:val="18"/>
          <w:szCs w:val="18"/>
          <w:lang w:val="vi-VN"/>
        </w:rPr>
        <w:t>ngày 24 tháng 11 năm 2020 của Chính phủ quy định chi tiết thi hành một số điều của </w:t>
      </w:r>
      <w:hyperlink r:id="rId6" w:tgtFrame="_blank" w:history="1">
        <w:r w:rsidRPr="005123DD">
          <w:rPr>
            <w:rFonts w:ascii="Arial" w:eastAsia="Times New Roman" w:hAnsi="Arial" w:cs="Arial"/>
            <w:color w:val="0E70C3"/>
            <w:sz w:val="18"/>
            <w:szCs w:val="18"/>
            <w:lang w:val="vi-VN"/>
          </w:rPr>
          <w:t>Luật Phòng cháy và chữa cháy</w:t>
        </w:r>
      </w:hyperlink>
      <w:r w:rsidRPr="005123DD">
        <w:rPr>
          <w:rFonts w:ascii="Arial" w:eastAsia="Times New Roman" w:hAnsi="Arial" w:cs="Arial"/>
          <w:color w:val="000000"/>
          <w:sz w:val="18"/>
          <w:szCs w:val="18"/>
          <w:lang w:val="vi-VN"/>
        </w:rPr>
        <w:t> và </w:t>
      </w:r>
      <w:hyperlink r:id="rId7" w:tgtFrame="_blank" w:history="1">
        <w:r w:rsidRPr="005123DD">
          <w:rPr>
            <w:rFonts w:ascii="Arial" w:eastAsia="Times New Roman" w:hAnsi="Arial" w:cs="Arial"/>
            <w:color w:val="0E70C3"/>
            <w:sz w:val="18"/>
            <w:szCs w:val="18"/>
            <w:lang w:val="vi-VN"/>
          </w:rPr>
          <w:t>Luật sửa đổi, bổ sung một số điều của Luật Phòng cháy và chữa cháy</w:t>
        </w:r>
      </w:hyperlink>
      <w:r w:rsidRPr="005123DD">
        <w:rPr>
          <w:rFonts w:ascii="Arial" w:eastAsia="Times New Roman" w:hAnsi="Arial" w:cs="Arial"/>
          <w:color w:val="000000"/>
          <w:sz w:val="18"/>
          <w:szCs w:val="18"/>
          <w:lang w:val="vi-VN"/>
        </w:rPr>
        <w:t> và văn bản sửa đổi, bổ sung, thay thế (nếu có) có tổng số tiền bảo hiểm của các tài sản tại một địa điểm dưới 1.000 tỷ đồng, mức phí bảo hiểm được xác định bằng số tiền bảo hiểm tối thiểu nhân (x) tỷ lệ phí bảo hiểm. Căn cứ vào mức độ rủi ro của từng cơ sở có nguy hiểm về cháy, nổ, doanh nghiệp bảo hiểm và bên mua bảo hiểm thỏa thuận tỷ lệ phí bảo hiểm không thấp hơn tỷ lệ phí bảo hiểm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6481"/>
        <w:gridCol w:w="857"/>
        <w:gridCol w:w="1334"/>
      </w:tblGrid>
      <w:tr w:rsidR="005123DD" w:rsidRPr="005123DD" w:rsidTr="005123D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b/>
                <w:bCs/>
                <w:color w:val="000000"/>
                <w:sz w:val="18"/>
                <w:szCs w:val="18"/>
                <w:lang w:val="vi-VN"/>
              </w:rPr>
              <w:t>STT</w:t>
            </w:r>
          </w:p>
        </w:tc>
        <w:tc>
          <w:tcPr>
            <w:tcW w:w="3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b/>
                <w:bCs/>
                <w:color w:val="000000"/>
                <w:sz w:val="18"/>
                <w:szCs w:val="18"/>
                <w:lang w:val="vi-VN"/>
              </w:rPr>
              <w:t>Danh mục cơ sở có nguy hiểm về cháy, nổ</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b/>
                <w:bCs/>
                <w:color w:val="000000"/>
                <w:sz w:val="18"/>
                <w:szCs w:val="18"/>
                <w:lang w:val="vi-VN"/>
              </w:rPr>
              <w:t>Mức khấu trừ (loại)</w:t>
            </w:r>
          </w:p>
        </w:tc>
        <w:tc>
          <w:tcPr>
            <w:tcW w:w="7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b/>
                <w:bCs/>
                <w:color w:val="000000"/>
                <w:sz w:val="18"/>
                <w:szCs w:val="18"/>
                <w:lang w:val="vi-VN"/>
              </w:rPr>
              <w:t>Tỷ lệ phí bảo hiểm/ năm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Trụ sở cơ quan nhà nước các cấp cao từ 10 tầng trở lên hoặc có tổng khối tích của các khối nhà làm việc từ 25.000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chung cư, nhà tập thể, nhà ở ký túc xá cao từ 7 tầng trở lên hoặc có tổng khối tích từ 10.000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 nhà hỗn hợp cao từ 5 tầng trở lên hoặc có tổng khối tích từ 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2.1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chung cư, nhà tập thể, nhà ở ký túc xá, nhà hỗn hợp có hệ thống chữa cháy tự động </w:t>
            </w:r>
            <w:r w:rsidRPr="005123DD">
              <w:rPr>
                <w:rFonts w:ascii="Arial" w:eastAsia="Times New Roman" w:hAnsi="Arial" w:cs="Arial"/>
                <w:color w:val="000000"/>
                <w:sz w:val="18"/>
                <w:szCs w:val="18"/>
              </w:rPr>
              <w:t>(sprinkler)</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2.2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chung cư, nhà tập thể, nhà ở ký túc xá, nhà hỗn hợp không có hệ thống chữa cháy tự động </w:t>
            </w:r>
            <w:r w:rsidRPr="005123DD">
              <w:rPr>
                <w:rFonts w:ascii="Arial" w:eastAsia="Times New Roman" w:hAnsi="Arial" w:cs="Arial"/>
                <w:color w:val="000000"/>
                <w:sz w:val="18"/>
                <w:szCs w:val="18"/>
              </w:rPr>
              <w:t>(sprinkler)</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3</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after="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trẻ, trường mẫu giáo, mầm non có từ 350 cháu trở lên hoặc có tổng khối tích các khối nhà học tập, phục vụ học tập từ 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 trường tiểu học, trung học cơ sở, trung học phổ thông, trường phổ thông có nhiều cấp học có tổng khối tích các khối nhà học tập, phục vụ học tập từ 5.000 m</w:t>
            </w:r>
            <w:r w:rsidRPr="005123DD">
              <w:rPr>
                <w:rFonts w:ascii="Arial" w:eastAsia="Times New Roman" w:hAnsi="Arial" w:cs="Arial"/>
                <w:color w:val="000000"/>
                <w:sz w:val="18"/>
                <w:szCs w:val="18"/>
                <w:vertAlign w:val="superscript"/>
                <w:lang w:val="vi-VN"/>
              </w:rPr>
              <w:t>3 </w:t>
            </w:r>
            <w:r w:rsidRPr="005123DD">
              <w:rPr>
                <w:rFonts w:ascii="Arial" w:eastAsia="Times New Roman" w:hAnsi="Arial" w:cs="Arial"/>
                <w:color w:val="000000"/>
                <w:sz w:val="18"/>
                <w:szCs w:val="18"/>
                <w:lang w:val="vi-VN"/>
              </w:rPr>
              <w:t>trở lên; trường cao đẳng, đại học, học viện, trường trung cấp chuyên nghiệp, trường dạy nghề, cơ sở giáo dục thường xuyên cao từ 7 tầng trở lên hoặc có tổng khối tích các khối nhà học tập, phục vụ học tập từ 10.000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 cơ sở giáo dục khác được thành lập theo </w:t>
            </w:r>
            <w:hyperlink r:id="rId8" w:tgtFrame="_blank" w:history="1">
              <w:r w:rsidRPr="005123DD">
                <w:rPr>
                  <w:rFonts w:ascii="Arial" w:eastAsia="Times New Roman" w:hAnsi="Arial" w:cs="Arial"/>
                  <w:color w:val="0E70C3"/>
                  <w:sz w:val="18"/>
                  <w:szCs w:val="18"/>
                  <w:lang w:val="vi-VN"/>
                </w:rPr>
                <w:t>Luật Giáo dục</w:t>
              </w:r>
            </w:hyperlink>
            <w:r w:rsidRPr="005123DD">
              <w:rPr>
                <w:rFonts w:ascii="Arial" w:eastAsia="Times New Roman" w:hAnsi="Arial" w:cs="Arial"/>
                <w:color w:val="000000"/>
                <w:sz w:val="18"/>
                <w:szCs w:val="18"/>
                <w:lang w:val="vi-VN"/>
              </w:rPr>
              <w:t> có tổng khối tích từ 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4</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after="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Bệnh viện có từ 250 giường bệnh trở lên; phòng khám đa khoa, khám chuyên khoa, nhà điều dưỡng, phục hồi chức năng, chỉnh hình, nhà dưỡng lão, cơ sở phòng chống dịch bệnh, trung tâm y tế, cơ sở y tế khác được thành lập theo </w:t>
            </w:r>
            <w:hyperlink r:id="rId9" w:tgtFrame="_blank" w:history="1">
              <w:r w:rsidRPr="005123DD">
                <w:rPr>
                  <w:rFonts w:ascii="Arial" w:eastAsia="Times New Roman" w:hAnsi="Arial" w:cs="Arial"/>
                  <w:color w:val="0E70C3"/>
                  <w:sz w:val="18"/>
                  <w:szCs w:val="18"/>
                  <w:lang w:val="vi-VN"/>
                </w:rPr>
                <w:t>Luật Khám bệnh, chữa bệnh</w:t>
              </w:r>
            </w:hyperlink>
            <w:r w:rsidRPr="005123DD">
              <w:rPr>
                <w:rFonts w:ascii="Arial" w:eastAsia="Times New Roman" w:hAnsi="Arial" w:cs="Arial"/>
                <w:color w:val="000000"/>
                <w:sz w:val="18"/>
                <w:szCs w:val="18"/>
                <w:lang w:val="vi-VN"/>
              </w:rPr>
              <w:t> cao từ 5 tầng trở lên hoặc có tổng khối tích từ 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5</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hát, rạp chiếu phim, rạp xiếc có từ 600 chỗ ngồi trở lên; trung tâm hội nghị, tổ chức sự kiện cao từ 5 tầng trở lên hoặc có tổng khối tích của các nhà tổ chức hội nghị, sự kiện từ 10.000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 nhà văn hóa, cơ sở kinh doanh dịch vụ </w:t>
            </w:r>
            <w:r w:rsidRPr="005123DD">
              <w:rPr>
                <w:rFonts w:ascii="Arial" w:eastAsia="Times New Roman" w:hAnsi="Arial" w:cs="Arial"/>
                <w:color w:val="000000"/>
                <w:sz w:val="18"/>
                <w:szCs w:val="18"/>
              </w:rPr>
              <w:t>karaoke, </w:t>
            </w:r>
            <w:r w:rsidRPr="005123DD">
              <w:rPr>
                <w:rFonts w:ascii="Arial" w:eastAsia="Times New Roman" w:hAnsi="Arial" w:cs="Arial"/>
                <w:color w:val="000000"/>
                <w:sz w:val="18"/>
                <w:szCs w:val="18"/>
                <w:lang w:val="vi-VN"/>
              </w:rPr>
              <w:t>vũ trường, quán </w:t>
            </w:r>
            <w:r w:rsidRPr="005123DD">
              <w:rPr>
                <w:rFonts w:ascii="Arial" w:eastAsia="Times New Roman" w:hAnsi="Arial" w:cs="Arial"/>
                <w:color w:val="000000"/>
                <w:sz w:val="18"/>
                <w:szCs w:val="18"/>
              </w:rPr>
              <w:t>bar, </w:t>
            </w:r>
            <w:r w:rsidRPr="005123DD">
              <w:rPr>
                <w:rFonts w:ascii="Arial" w:eastAsia="Times New Roman" w:hAnsi="Arial" w:cs="Arial"/>
                <w:color w:val="000000"/>
                <w:sz w:val="18"/>
                <w:szCs w:val="18"/>
                <w:lang w:val="vi-VN"/>
              </w:rPr>
              <w:t>câu lạc bộ, thẩm mỹ viện, kinh doanh dịch vụ xoa bóp, công viên giải trí, vườn thú, thủy cung có khối tích từ 5.000 m3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lastRenderedPageBreak/>
              <w:t>5.1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Cơ sở kinh doanh dịch vụ </w:t>
            </w:r>
            <w:r w:rsidRPr="005123DD">
              <w:rPr>
                <w:rFonts w:ascii="Arial" w:eastAsia="Times New Roman" w:hAnsi="Arial" w:cs="Arial"/>
                <w:color w:val="000000"/>
                <w:sz w:val="18"/>
                <w:szCs w:val="18"/>
              </w:rPr>
              <w:t>karaoke, </w:t>
            </w:r>
            <w:r w:rsidRPr="005123DD">
              <w:rPr>
                <w:rFonts w:ascii="Arial" w:eastAsia="Times New Roman" w:hAnsi="Arial" w:cs="Arial"/>
                <w:color w:val="000000"/>
                <w:sz w:val="18"/>
                <w:szCs w:val="18"/>
                <w:lang w:val="vi-VN"/>
              </w:rPr>
              <w:t>vũ trường, quán </w:t>
            </w:r>
            <w:r w:rsidRPr="005123DD">
              <w:rPr>
                <w:rFonts w:ascii="Arial" w:eastAsia="Times New Roman" w:hAnsi="Arial" w:cs="Arial"/>
                <w:color w:val="000000"/>
                <w:sz w:val="18"/>
                <w:szCs w:val="18"/>
              </w:rPr>
              <w:t>bar</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0,4</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5.2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hát, rạp chiếu phim, rạp xiếc; trung tâm hội nghị, tổ chức sự kiện; nhà văn hóa, câu lạc bộ, thẩm mỹ viện, kinh doanh dịch vụ xoa bóp</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5.3</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Công viên giải trí, vườn thú, thủy cung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6</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Chợ hạng 1, chợ hạng 2; trung tâm thương mại, điện máy, siêu thị, cửa hàng bách hoá, cửa hàng tiện ích, nhà hàng, cửa hàng ăn uống có tổng diện tích kinh doanh từ 500 m</w:t>
            </w:r>
            <w:r w:rsidRPr="005123DD">
              <w:rPr>
                <w:rFonts w:ascii="Arial" w:eastAsia="Times New Roman" w:hAnsi="Arial" w:cs="Arial"/>
                <w:color w:val="000000"/>
                <w:sz w:val="18"/>
                <w:szCs w:val="18"/>
                <w:vertAlign w:val="superscript"/>
                <w:lang w:val="vi-VN"/>
              </w:rPr>
              <w:t>2</w:t>
            </w:r>
            <w:r w:rsidRPr="005123DD">
              <w:rPr>
                <w:rFonts w:ascii="Arial" w:eastAsia="Times New Roman" w:hAnsi="Arial" w:cs="Arial"/>
                <w:color w:val="000000"/>
                <w:sz w:val="18"/>
                <w:szCs w:val="18"/>
                <w:lang w:val="vi-VN"/>
              </w:rPr>
              <w:t> trở lên hoặc có khối tích từ 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6.1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Trung tâm thương mại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0,06</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6.2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Siêu thị, cửa hàng bách hóa, điện máy, cửa hàng tiện ích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0,08</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6.3</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hàng, cửa hàng ăn uống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6.4</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Chợ</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7</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after="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Khách sạn, nhà khách, nhà nghỉ, nhà trọ, cơ sở lưu trú khác được thành lập theo </w:t>
            </w:r>
            <w:hyperlink r:id="rId10" w:tgtFrame="_blank" w:history="1">
              <w:r w:rsidRPr="005123DD">
                <w:rPr>
                  <w:rFonts w:ascii="Arial" w:eastAsia="Times New Roman" w:hAnsi="Arial" w:cs="Arial"/>
                  <w:color w:val="0E70C3"/>
                  <w:sz w:val="18"/>
                  <w:szCs w:val="18"/>
                  <w:lang w:val="vi-VN"/>
                </w:rPr>
                <w:t>Luật Du lịch</w:t>
              </w:r>
            </w:hyperlink>
            <w:r w:rsidRPr="005123DD">
              <w:rPr>
                <w:rFonts w:ascii="Arial" w:eastAsia="Times New Roman" w:hAnsi="Arial" w:cs="Arial"/>
                <w:color w:val="000000"/>
                <w:sz w:val="18"/>
                <w:szCs w:val="18"/>
                <w:lang w:val="vi-VN"/>
              </w:rPr>
              <w:t> cao từ 7 tầng trở lên hoặc có tổng khối tích của các khối nhà phục vụ lưu trú từ 10.000 m</w:t>
            </w:r>
            <w:r w:rsidRPr="005123DD">
              <w:rPr>
                <w:rFonts w:ascii="Arial" w:eastAsia="Times New Roman" w:hAnsi="Arial" w:cs="Arial"/>
                <w:color w:val="000000"/>
                <w:sz w:val="18"/>
                <w:szCs w:val="18"/>
                <w:vertAlign w:val="superscript"/>
                <w:lang w:val="vi-VN"/>
              </w:rPr>
              <w:t>3 </w:t>
            </w:r>
            <w:r w:rsidRPr="005123DD">
              <w:rPr>
                <w:rFonts w:ascii="Arial" w:eastAsia="Times New Roman" w:hAnsi="Arial" w:cs="Arial"/>
                <w:color w:val="000000"/>
                <w:sz w:val="18"/>
                <w:szCs w:val="18"/>
                <w:lang w:val="vi-VN"/>
              </w:rPr>
              <w:t>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7.1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after="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Khách sạn, nhà khách, nhà nghỉ, nhà trọ, cơ sở lưu trú khác được thành lập theo </w:t>
            </w:r>
            <w:hyperlink r:id="rId11" w:tgtFrame="_blank" w:history="1">
              <w:r w:rsidRPr="005123DD">
                <w:rPr>
                  <w:rFonts w:ascii="Arial" w:eastAsia="Times New Roman" w:hAnsi="Arial" w:cs="Arial"/>
                  <w:color w:val="0E70C3"/>
                  <w:sz w:val="18"/>
                  <w:szCs w:val="18"/>
                  <w:lang w:val="vi-VN"/>
                </w:rPr>
                <w:t>Luật Du lịch</w:t>
              </w:r>
            </w:hyperlink>
            <w:r w:rsidRPr="005123DD">
              <w:rPr>
                <w:rFonts w:ascii="Arial" w:eastAsia="Times New Roman" w:hAnsi="Arial" w:cs="Arial"/>
                <w:color w:val="000000"/>
                <w:sz w:val="18"/>
                <w:szCs w:val="18"/>
                <w:lang w:val="vi-VN"/>
              </w:rPr>
              <w:t> có hệ thống chữa cháy tự động </w:t>
            </w:r>
            <w:r w:rsidRPr="005123DD">
              <w:rPr>
                <w:rFonts w:ascii="Arial" w:eastAsia="Times New Roman" w:hAnsi="Arial" w:cs="Arial"/>
                <w:color w:val="000000"/>
                <w:sz w:val="18"/>
                <w:szCs w:val="18"/>
              </w:rPr>
              <w:t>(sprinkler)</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7.2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after="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Khách sạn, nhà khách, nhà nghỉ, nhà trọ, cơ sở lưu trú khác được thành lập theo </w:t>
            </w:r>
            <w:hyperlink r:id="rId12" w:tgtFrame="_blank" w:history="1">
              <w:r w:rsidRPr="005123DD">
                <w:rPr>
                  <w:rFonts w:ascii="Arial" w:eastAsia="Times New Roman" w:hAnsi="Arial" w:cs="Arial"/>
                  <w:color w:val="0E70C3"/>
                  <w:sz w:val="18"/>
                  <w:szCs w:val="18"/>
                  <w:lang w:val="vi-VN"/>
                </w:rPr>
                <w:t>Luật Du lịch</w:t>
              </w:r>
            </w:hyperlink>
            <w:r w:rsidRPr="005123DD">
              <w:rPr>
                <w:rFonts w:ascii="Arial" w:eastAsia="Times New Roman" w:hAnsi="Arial" w:cs="Arial"/>
                <w:color w:val="000000"/>
                <w:sz w:val="18"/>
                <w:szCs w:val="18"/>
                <w:lang w:val="vi-VN"/>
              </w:rPr>
              <w:t> không có hệ thống chữa cháy tự động </w:t>
            </w:r>
            <w:r w:rsidRPr="005123DD">
              <w:rPr>
                <w:rFonts w:ascii="Arial" w:eastAsia="Times New Roman" w:hAnsi="Arial" w:cs="Arial"/>
                <w:color w:val="000000"/>
                <w:sz w:val="18"/>
                <w:szCs w:val="18"/>
              </w:rPr>
              <w:t>(sprinkler)</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8</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làm việc của doanh nghiệp, tổ chức chính trị, xã hội cao từ 7 tầng trở lên hoặc có tổng khối tích của các khối nhà làm việc từ 10.000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9</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Bảo tàng, thư viện, triển lãm, nhà trưng bày, nhà lưu trữ, nhà sách, nhà hội chợ có khối tích từ 10.000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9.1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Bảo tàng, thư viện, nhà trưng bày, nhà lưu trữ</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0,075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9.2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Triển lãm, nhà sách, nhà hội chợ</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10</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Bưu điện, cơ sở truyền thanh, truyền hình, viễn thông cao từ 5 tầng trở lên hoặc có khối tích của khối nhà chính từ 10.000 m</w:t>
            </w:r>
            <w:r w:rsidRPr="005123DD">
              <w:rPr>
                <w:rFonts w:ascii="Arial" w:eastAsia="Times New Roman" w:hAnsi="Arial" w:cs="Arial"/>
                <w:color w:val="000000"/>
                <w:sz w:val="18"/>
                <w:szCs w:val="18"/>
                <w:vertAlign w:val="superscript"/>
                <w:lang w:val="vi-VN"/>
              </w:rPr>
              <w:t>3 </w:t>
            </w:r>
            <w:r w:rsidRPr="005123DD">
              <w:rPr>
                <w:rFonts w:ascii="Arial" w:eastAsia="Times New Roman" w:hAnsi="Arial" w:cs="Arial"/>
                <w:color w:val="000000"/>
                <w:sz w:val="18"/>
                <w:szCs w:val="18"/>
                <w:lang w:val="vi-VN"/>
              </w:rPr>
              <w:t>trở lên; nhà lắp đặt thiết bị thông tin, trung tâm lưu trữ, quản lý dữ liệu có khối tích từ 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0,075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after="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Sân vận động có sức chứa từ 40.000 chỗ ngồi trở lên; nhà thi đấu thể thao; cung thể thao trong nhà có sức chứa từ 500 chỗ ngồi trở lên; trung tâm thể dục thể thao, trường đua, trường bắn có tổng khối tích của các nhà thể thao từ 10.000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 hoặc có sức chứa từ 5.000 chỗ trở lên; cơ sở thể thao khác được thành lập theo </w:t>
            </w:r>
            <w:hyperlink r:id="rId13" w:tgtFrame="_blank" w:history="1">
              <w:r w:rsidRPr="005123DD">
                <w:rPr>
                  <w:rFonts w:ascii="Arial" w:eastAsia="Times New Roman" w:hAnsi="Arial" w:cs="Arial"/>
                  <w:color w:val="0E70C3"/>
                  <w:sz w:val="18"/>
                  <w:szCs w:val="18"/>
                  <w:lang w:val="vi-VN"/>
                </w:rPr>
                <w:t>Luật Thể dục, thể thao</w:t>
              </w:r>
            </w:hyperlink>
            <w:r w:rsidRPr="005123DD">
              <w:rPr>
                <w:rFonts w:ascii="Arial" w:eastAsia="Times New Roman" w:hAnsi="Arial" w:cs="Arial"/>
                <w:color w:val="000000"/>
                <w:sz w:val="18"/>
                <w:szCs w:val="18"/>
                <w:lang w:val="vi-VN"/>
              </w:rPr>
              <w:t> có khối tích từ 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0,06</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xml:space="preserve">Cảng hàng không; đài kiểm soát không lưu; bến cảng biển; cảng cạn; cảng thủy nội địa loại I, loại II; bến xe khách loại 1, loại 2; trạm dừng nghỉ loại 1; </w:t>
            </w:r>
            <w:r w:rsidRPr="005123DD">
              <w:rPr>
                <w:rFonts w:ascii="Arial" w:eastAsia="Times New Roman" w:hAnsi="Arial" w:cs="Arial"/>
                <w:color w:val="000000"/>
                <w:sz w:val="18"/>
                <w:szCs w:val="18"/>
                <w:lang w:val="vi-VN"/>
              </w:rPr>
              <w:lastRenderedPageBreak/>
              <w:t>nhà ga đường sắt, nhà chờ cáp treo vận chuyển người có khối tích từ 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 công trình tàu điện ngầm; cơ sở đăng kiểm phương tiện giao thông cơ giới; cửa hàng kinh doanh, sửa chữa, bảo dưỡng ô tô, mô tô, xe gắn máy có diện tích kinh doanh từ 500 m</w:t>
            </w:r>
            <w:r w:rsidRPr="005123DD">
              <w:rPr>
                <w:rFonts w:ascii="Arial" w:eastAsia="Times New Roman" w:hAnsi="Arial" w:cs="Arial"/>
                <w:color w:val="000000"/>
                <w:sz w:val="18"/>
                <w:szCs w:val="18"/>
                <w:vertAlign w:val="superscript"/>
                <w:lang w:val="vi-VN"/>
              </w:rPr>
              <w:t>2</w:t>
            </w:r>
            <w:r w:rsidRPr="005123DD">
              <w:rPr>
                <w:rFonts w:ascii="Arial" w:eastAsia="Times New Roman" w:hAnsi="Arial" w:cs="Arial"/>
                <w:color w:val="000000"/>
                <w:sz w:val="18"/>
                <w:szCs w:val="18"/>
                <w:lang w:val="vi-VN"/>
              </w:rPr>
              <w:t> trở lên hoặc có khối tích từ 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lastRenderedPageBreak/>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lastRenderedPageBreak/>
              <w:t>12.1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Ben cảng biển; cảng cạn; cảng thủy nội địa; bến xe khách; trạm dừng nghỉ; nhà chờ cáp treo vận chuyển người; công trình tàu điện ngầm; cơ sở đăng kiểm phương tiện giao thông cơ giới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12.2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ga đường sắt; công trình tàu điện ngầm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12.3</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Cảng hàng không; đài kiểm soát không lưu</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0,08</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12.4</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Cửa hàng kinh doanh, sửa chữa, bảo dưỡng ô tô, mô tô, xe gắn máy</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13</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Gara để xe có sức chứa từ 10 xe ô tô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14</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Cơ sở sản xuất, kinh doanh, bảo quản, sử dụng vật liệu nổ công nghiệp và tiền chất thuốc nổ; kho vật liệu nổ công nghiệp, tiền chất thuốc nổ; cảng xuất, nhập vật liệu nổ công nghiệp, tiền chất thuốc nổ; kho vũ khí, công cụ hỗ trợ</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15</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cửa hàng kinh doanh chất lỏng dễ cháy, cửa hàng kinh doanh khí đốt có tổng lượng khí tồn chứa từ 200 kg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15.1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Cơ sở khai thác, chế biến, sản xuất, vận chuyển, kinh doanh, bảo quản dầu mỏ và sản phẩm dầu mỏ, khí đốt trên đất liền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0,35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15.2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dầu mỏ và sản phẩm dầu mỏ, kho khí đốt; cảng xuất, nhập dầu mỏ và sản phẩm dầu mỏ, khí đốt; cửa hàng kinh doanh xăng dầu; cửa hàng kinh doanh chất lỏng dễ cháy, cửa hàng kinh doanh khí đốt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0,3</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16</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Cơ sở công nghiệp có hạng nguy hiểm cháy, nổ </w:t>
            </w:r>
            <w:r w:rsidRPr="005123DD">
              <w:rPr>
                <w:rFonts w:ascii="Arial" w:eastAsia="Times New Roman" w:hAnsi="Arial" w:cs="Arial"/>
                <w:color w:val="000000"/>
                <w:sz w:val="18"/>
                <w:szCs w:val="18"/>
              </w:rPr>
              <w:t>A, </w:t>
            </w:r>
            <w:r w:rsidRPr="005123DD">
              <w:rPr>
                <w:rFonts w:ascii="Arial" w:eastAsia="Times New Roman" w:hAnsi="Arial" w:cs="Arial"/>
                <w:color w:val="000000"/>
                <w:sz w:val="18"/>
                <w:szCs w:val="18"/>
                <w:lang w:val="vi-VN"/>
              </w:rPr>
              <w:t>B có tổng khối tích của các khối nhà có dây chuyền công nghệ sản xuất chính từ 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 hạng nguy hiểm cháy, nổ C có tổng khối tích của các khối nhà có dây chuyền công nghệ sản xuất chính từ 10.000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 hạng nguy hiểm cháy, nổ D, E có tổng khối tích của các khối nhà có dây chuyền công nghệ sản xuất chính từ 15.000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16.1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a) Cơ sở sản xuất công nghiệp có hạng nguy hiểm cháy </w:t>
            </w:r>
            <w:r w:rsidRPr="005123DD">
              <w:rPr>
                <w:rFonts w:ascii="Arial" w:eastAsia="Times New Roman" w:hAnsi="Arial" w:cs="Arial"/>
                <w:color w:val="000000"/>
                <w:sz w:val="18"/>
                <w:szCs w:val="18"/>
              </w:rPr>
              <w:t>nổ </w:t>
            </w:r>
            <w:r w:rsidRPr="005123DD">
              <w:rPr>
                <w:rFonts w:ascii="Arial" w:eastAsia="Times New Roman" w:hAnsi="Arial" w:cs="Arial"/>
                <w:color w:val="000000"/>
                <w:sz w:val="18"/>
                <w:szCs w:val="18"/>
                <w:lang w:val="vi-VN"/>
              </w:rPr>
              <w:t>A, B, C (trừ cơ sở sản xuất gỗ, giầy, giấy)</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Trong đó:</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lưu hóa cao su</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hàng thủ công mỹ nghệ</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lastRenderedPageBreak/>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bao bì </w:t>
            </w:r>
            <w:r w:rsidRPr="005123DD">
              <w:rPr>
                <w:rFonts w:ascii="Arial" w:eastAsia="Times New Roman" w:hAnsi="Arial" w:cs="Arial"/>
                <w:color w:val="000000"/>
                <w:sz w:val="18"/>
                <w:szCs w:val="18"/>
              </w:rPr>
              <w:t>carton, </w:t>
            </w:r>
            <w:r w:rsidRPr="005123DD">
              <w:rPr>
                <w:rFonts w:ascii="Arial" w:eastAsia="Times New Roman" w:hAnsi="Arial" w:cs="Arial"/>
                <w:color w:val="000000"/>
                <w:sz w:val="18"/>
                <w:szCs w:val="18"/>
                <w:lang w:val="vi-VN"/>
              </w:rPr>
              <w:t>bao bì công nghiệp</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khắc, chạm (làm chổi, bàn chải, chổi sơn, trừ phần xử lý gỗ)</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Luyện quặng (trừ quặng sắt)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luyện than cốc, sản xuất than đá bánh, than non bánh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Khai thác mỏ quặng kim loại các loại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Cơ sở chế biến phế liệu vải sợi (như phân loại, giặt, chải, buôn bán)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sản xuất dây thừng, chão trừ chỉ khâu (nếu dây có phủ nhựa, nhựa đường)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sản xuất dây thừng, chão trừ chỉ khâu (nếu dây không có phủ nhựa, nhựa đường)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dệt kim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chế biến lông thú, may da thú</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Nhuộm vải, in trên vải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dệt các loại sợi khác </w:t>
            </w:r>
            <w:r w:rsidRPr="005123DD">
              <w:rPr>
                <w:rFonts w:ascii="Arial" w:eastAsia="Times New Roman" w:hAnsi="Arial" w:cs="Arial"/>
                <w:color w:val="000000"/>
                <w:sz w:val="18"/>
                <w:szCs w:val="18"/>
              </w:rPr>
              <w:t>(cotton, </w:t>
            </w:r>
            <w:r w:rsidRPr="005123DD">
              <w:rPr>
                <w:rFonts w:ascii="Arial" w:eastAsia="Times New Roman" w:hAnsi="Arial" w:cs="Arial"/>
                <w:color w:val="000000"/>
                <w:sz w:val="18"/>
                <w:szCs w:val="18"/>
                <w:lang w:val="vi-VN"/>
              </w:rPr>
              <w:t>vitco, lanh, gai, đay)</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xe, kéo sợi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thảm, tấm trải sàn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chỉ khâu</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giặt, là, tẩy, hấp, nhuộm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May đồ lót, đăng ten các loại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May quần áo các loại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các sản phẩm dệt chưa phân loại khác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các mặt hàng làm từ da thuộc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sản xuất dây chun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da thuộc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lastRenderedPageBreak/>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lụa, tơ tằm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dệt tơ, len, sợi tổng hợp</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Cơ sở chế biến bàn chải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sơn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hóa chất vô cơ và hữu cơ chế biến nguyên liệu và bán thành phẩm sản phẩm như phân bón dạng hạt, viên nhỏ, bột hoặc axít, muối, dung môi, cao su tổng hợp</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Cơ sở sản xuất áo đi mưa, nhựa tấm, khăn trải bàn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xi nến, sáp đánh bóng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nhựa đúc, nhựa thanh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Cơ sở sản xuất nút chai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xà phòng, hóa mỹ phẩm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sản phẩm nhựa lắp ráp</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chất dẻo, cao su đặc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các sản phẩm từ cao su</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sản xuất hoa giả</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in, xưởng in (không tính sản xuất giấy, chế biến giấy)</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mực in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đóng sách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thuốc lá và nguyên liệu thuốc lá</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làm phân trộn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đốt rác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sơn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vật liệu xây dựng có gỗ, giấy, chất dễ cháy (trừ sản xuất nội thất bằng gỗ)</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lastRenderedPageBreak/>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cồn và các chất lỏng dễ cháy khác (trừ dầu mỏ, khí đốt)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pin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Cơ sở vẽ tranh, phông ảnh, làm pano quảng cáo</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Trung tâm tổ chức đám ma/hỏa táng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Cơ sở sản xuất giấy ráp</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b) Cơ sở sản xuất gỗ</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Trong đó:</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than củi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máy/xưởng sản xuất bút chì gỗ</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làm rổ, sọt, sản phẩm làm từ mây, tre, nứa</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diêm, hương, vàng mã</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máy/xưởng sản xuất, chế biến đồ gỗ các loại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 Cơ sở sản xuất giầy</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0,35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d) Xưởng sản xuất giấy, chế biến giấy</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0,35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16.2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Cơ sở sản xuất công nghiệp có hạng nguy hiểm cháy nổ D, E</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Trong đó:</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sắt, thép</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chế biến, gia công quặng khác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Chế biến (sỏi, đá dăm, than xỉ trộn nhựa) với asphant hoặc </w:t>
            </w:r>
            <w:r w:rsidRPr="005123DD">
              <w:rPr>
                <w:rFonts w:ascii="Arial" w:eastAsia="Times New Roman" w:hAnsi="Arial" w:cs="Arial"/>
                <w:color w:val="000000"/>
                <w:sz w:val="18"/>
                <w:szCs w:val="18"/>
              </w:rPr>
              <w:t>bitumen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khoáng sản (cưa, mài, đánh bóng)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và chế biến thủy tinh rỗng, chai lọ, dụng cụ quang học, kính cửa, kính tấm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phim, phòng in tráng phim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vật liệu phim ảnh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lastRenderedPageBreak/>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máy/xưởng đánh bóng, xay xát gạo, bột mỳ, nông sản thực phẩm các loại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chế biến thức ăn gia súc và thức ăn khác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mì ăn liền, cháo ăn liền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đường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bánh kẹo</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dầu ăn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nước mắm, dấm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thực phẩm đồ hộp, chế biến thủy sản, thịt, sữa</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mạch nha</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bia, rượu, nước trái cây, nước khoáng và nước uống các loại, xưởng ủ bia</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Xưởng hàn, cắt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đồ gốm thông thường và cao cấp như gạch lát, đồ sứ, đồ đất nung, đồ gốm...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Lò đúc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xi măng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Cơ sở sản xuất thiết bị điện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cấu trúc kim loại và cấu kiện lắp sẵn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vỏ đồ hộp kim loại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ốc vít và gia công các kim loại khác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xử lý nước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xử lý chất thải rắn (không sử dụng công nghệ đốt)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máy lọc nước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đồng hồ</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lastRenderedPageBreak/>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pin mặt trời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thiết bị cơ khí</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phụ tùng ô tô, xe đạp, xe máy và phụ tùng các loại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lắp ráp ô tô, xe máy, xe điện... các loại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Sản xuất và chế biến vàng, bạc, đồ trang sức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lắp ráp linh kiện điện tử (máy in, máy ảnh, máy tính, đồ gia dụng...), thiết bị viễn thông, chất bán dẫn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cáp quang, cáp đồng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phụ tùng máy bay</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vòng bi, doăng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khóa kéo bằng kim loại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sản xuất dược phẩm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17</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điện; trạm biến áp có điện áp từ 110 kv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17.1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nhiệt điện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17.2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thủy điện; nhà máy điện nguyên tử, điện địa nhiệt, điện thủy triều, điện rác, điện sinh khối, điện khí </w:t>
            </w:r>
            <w:r w:rsidRPr="005123DD">
              <w:rPr>
                <w:rFonts w:ascii="Arial" w:eastAsia="Times New Roman" w:hAnsi="Arial" w:cs="Arial"/>
                <w:color w:val="000000"/>
                <w:sz w:val="18"/>
                <w:szCs w:val="18"/>
              </w:rPr>
              <w:t>biogas, </w:t>
            </w:r>
            <w:r w:rsidRPr="005123DD">
              <w:rPr>
                <w:rFonts w:ascii="Arial" w:eastAsia="Times New Roman" w:hAnsi="Arial" w:cs="Arial"/>
                <w:color w:val="000000"/>
                <w:sz w:val="18"/>
                <w:szCs w:val="18"/>
                <w:lang w:val="vi-VN"/>
              </w:rPr>
              <w:t>điện đồng phát và nhà máy điện khác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17.3</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Nhà máy điện gió, điện mặt trời nối trên mặt nước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17.4</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Trạm biến áp trạm biến áp có điện áp từ 110 kv trở lên, đường dây truyền tải điện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18</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Hầm có hoạt động sản xuất, bảo quản, sử dụng chất cháy, nổ có tổng khối tích từ 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 kho hàng hóa, vật tư cháy được hoặc hàng hóa vật tư không cháy đựng trong các bao bì cháy được có tổng khối tích từ 5.000 m</w:t>
            </w:r>
            <w:r w:rsidRPr="005123DD">
              <w:rPr>
                <w:rFonts w:ascii="Arial" w:eastAsia="Times New Roman" w:hAnsi="Arial" w:cs="Arial"/>
                <w:color w:val="000000"/>
                <w:sz w:val="18"/>
                <w:szCs w:val="18"/>
                <w:vertAlign w:val="superscript"/>
                <w:lang w:val="vi-VN"/>
              </w:rPr>
              <w:t>3</w:t>
            </w:r>
            <w:r w:rsidRPr="005123DD">
              <w:rPr>
                <w:rFonts w:ascii="Arial" w:eastAsia="Times New Roman" w:hAnsi="Arial" w:cs="Arial"/>
                <w:color w:val="000000"/>
                <w:sz w:val="18"/>
                <w:szCs w:val="18"/>
                <w:lang w:val="vi-VN"/>
              </w:rPr>
              <w:t> trở lên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18.1</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Hầm có hoạt động sản xuất, bảo quản, sử dụng chất cháy, nổ</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0,5</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18.2</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hàng hóa, vật tư cháy được (kho độc lập, không nằm trong phạm vi nhà máy, cơ sở có hoạt động sản xuất)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Trong đó:</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lastRenderedPageBreak/>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hàng hóa tổng hợp, bãi hàng hóa</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nhựa đường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son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chứa hóa chất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thành phẩm, bán thành phẩm nhựa, cao su</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rượu cồn và các chất lỏng dễ cháy</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bông vải sợi, len dạ, sản phẩm dệt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giấy, bìa, bao bì</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đồ gỗ và các sản phẩm về gỗ</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tinh dầu, hương liệu, dầu ăn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ngành thuốc lá</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dược phẩm</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vật tư ngành ảnh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hàng thiết bị điện, điện tử</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hàng nông sản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lạnh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Kho vật liệu xây dựng</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0,2</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18.3</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Hàng hóa vật tư không cháy đựng trong các bao bì cháy được (độc lập, không nằm trong phạm vi nhà máy, cơ sở có hoạt động sản xuất)</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Trong đó:</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Gạch, đồ gốm sứ, xi măng, thạch cao</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Kim loại, phụ tùng cơ khí</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Dầu nhớt, mỡ bôi trơn</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w:t>
            </w:r>
          </w:p>
        </w:tc>
      </w:tr>
      <w:tr w:rsidR="005123DD" w:rsidRPr="005123DD" w:rsidTr="005123D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 </w:t>
            </w:r>
          </w:p>
        </w:tc>
        <w:tc>
          <w:tcPr>
            <w:tcW w:w="3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Nước khoáng và đồ uống các loại</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0,1</w:t>
            </w:r>
          </w:p>
        </w:tc>
      </w:tr>
    </w:tbl>
    <w:p w:rsidR="005123DD" w:rsidRPr="005123DD" w:rsidRDefault="005123DD" w:rsidP="005123DD">
      <w:pPr>
        <w:shd w:val="clear" w:color="auto" w:fill="FFFFFF"/>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lastRenderedPageBreak/>
        <w:t>Trường hợp thời hạn bảo hiểm khác 01 năm, phí bảo hiểm được tính dựa trên phí bảo hiểm nêu trên và tương ứng với thời hạn được bảo hiểm. Cách tính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61"/>
        <w:gridCol w:w="3915"/>
        <w:gridCol w:w="2484"/>
      </w:tblGrid>
      <w:tr w:rsidR="005123DD" w:rsidRPr="005123DD" w:rsidTr="005123DD">
        <w:trPr>
          <w:tblCellSpacing w:w="0" w:type="dxa"/>
        </w:trPr>
        <w:tc>
          <w:tcPr>
            <w:tcW w:w="1550" w:type="pct"/>
            <w:vMerge w:val="restart"/>
            <w:shd w:val="clear" w:color="auto" w:fill="auto"/>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 </w:t>
            </w:r>
          </w:p>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Phí bảo hiểm phải nộp</w:t>
            </w:r>
            <w:r w:rsidRPr="005123DD">
              <w:rPr>
                <w:rFonts w:ascii="Arial" w:eastAsia="Times New Roman" w:hAnsi="Arial" w:cs="Arial"/>
                <w:color w:val="000000"/>
                <w:sz w:val="18"/>
                <w:szCs w:val="18"/>
              </w:rPr>
              <w:t> =</w:t>
            </w:r>
          </w:p>
        </w:tc>
        <w:tc>
          <w:tcPr>
            <w:tcW w:w="2050" w:type="pct"/>
            <w:shd w:val="clear" w:color="auto" w:fill="auto"/>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Phí bảo hiểm năm theo danh mục cơ sở có nguy hiểm về cháy, nổ</w:t>
            </w:r>
          </w:p>
        </w:tc>
        <w:tc>
          <w:tcPr>
            <w:tcW w:w="1300" w:type="pct"/>
            <w:vMerge w:val="restart"/>
            <w:shd w:val="clear" w:color="auto" w:fill="auto"/>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 </w:t>
            </w:r>
          </w:p>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rPr>
              <w:t>x </w:t>
            </w:r>
            <w:r w:rsidRPr="005123DD">
              <w:rPr>
                <w:rFonts w:ascii="Arial" w:eastAsia="Times New Roman" w:hAnsi="Arial" w:cs="Arial"/>
                <w:color w:val="000000"/>
                <w:sz w:val="18"/>
                <w:szCs w:val="18"/>
                <w:lang w:val="vi-VN"/>
              </w:rPr>
              <w:t>Thời hạn được bảo hiểm (ngày)</w:t>
            </w:r>
          </w:p>
        </w:tc>
      </w:tr>
      <w:tr w:rsidR="005123DD" w:rsidRPr="005123DD" w:rsidTr="005123DD">
        <w:trPr>
          <w:tblCellSpacing w:w="0" w:type="dxa"/>
        </w:trPr>
        <w:tc>
          <w:tcPr>
            <w:tcW w:w="0" w:type="auto"/>
            <w:vMerge/>
            <w:shd w:val="clear" w:color="auto" w:fill="FFFFFF"/>
            <w:vAlign w:val="center"/>
            <w:hideMark/>
          </w:tcPr>
          <w:p w:rsidR="005123DD" w:rsidRPr="005123DD" w:rsidRDefault="005123DD" w:rsidP="005123DD">
            <w:pPr>
              <w:spacing w:after="0" w:line="240" w:lineRule="auto"/>
              <w:rPr>
                <w:rFonts w:ascii="Arial" w:eastAsia="Times New Roman" w:hAnsi="Arial" w:cs="Arial"/>
                <w:color w:val="000000"/>
                <w:sz w:val="18"/>
                <w:szCs w:val="18"/>
              </w:rPr>
            </w:pPr>
          </w:p>
        </w:tc>
        <w:tc>
          <w:tcPr>
            <w:tcW w:w="2050" w:type="pct"/>
            <w:tcBorders>
              <w:top w:val="single" w:sz="8" w:space="0" w:color="auto"/>
              <w:left w:val="nil"/>
              <w:bottom w:val="nil"/>
              <w:right w:val="nil"/>
            </w:tcBorders>
            <w:shd w:val="clear" w:color="auto" w:fill="auto"/>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365 (ngày)</w:t>
            </w:r>
          </w:p>
        </w:tc>
        <w:tc>
          <w:tcPr>
            <w:tcW w:w="0" w:type="auto"/>
            <w:vMerge/>
            <w:shd w:val="clear" w:color="auto" w:fill="FFFFFF"/>
            <w:vAlign w:val="center"/>
            <w:hideMark/>
          </w:tcPr>
          <w:p w:rsidR="005123DD" w:rsidRPr="005123DD" w:rsidRDefault="005123DD" w:rsidP="005123DD">
            <w:pPr>
              <w:spacing w:after="0" w:line="240" w:lineRule="auto"/>
              <w:rPr>
                <w:rFonts w:ascii="Arial" w:eastAsia="Times New Roman" w:hAnsi="Arial" w:cs="Arial"/>
                <w:color w:val="000000"/>
                <w:sz w:val="18"/>
                <w:szCs w:val="18"/>
              </w:rPr>
            </w:pPr>
          </w:p>
        </w:tc>
      </w:tr>
    </w:tbl>
    <w:p w:rsidR="005123DD" w:rsidRPr="005123DD" w:rsidRDefault="005123DD" w:rsidP="005123DD">
      <w:pPr>
        <w:shd w:val="clear" w:color="auto" w:fill="FFFFFF"/>
        <w:spacing w:before="120" w:after="120" w:line="234" w:lineRule="atLeast"/>
        <w:rPr>
          <w:rFonts w:ascii="Arial" w:eastAsia="Times New Roman" w:hAnsi="Arial" w:cs="Arial"/>
          <w:color w:val="000000"/>
          <w:sz w:val="18"/>
          <w:szCs w:val="18"/>
        </w:rPr>
      </w:pPr>
      <w:r w:rsidRPr="005123DD">
        <w:rPr>
          <w:rFonts w:ascii="Arial" w:eastAsia="Times New Roman" w:hAnsi="Arial" w:cs="Arial"/>
          <w:b/>
          <w:bCs/>
          <w:i/>
          <w:iCs/>
          <w:color w:val="000000"/>
          <w:sz w:val="18"/>
          <w:szCs w:val="18"/>
          <w:lang w:val="vi-VN"/>
        </w:rPr>
        <w:t>Ghi chú:</w:t>
      </w:r>
    </w:p>
    <w:p w:rsidR="005123DD" w:rsidRPr="005123DD" w:rsidRDefault="005123DD" w:rsidP="005123DD">
      <w:pPr>
        <w:shd w:val="clear" w:color="auto" w:fill="FFFFFF"/>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M, N là các ký hiệu về loại mức khấu trừ quy định tại khoản 1 Mục II Phụ lục này.</w:t>
      </w:r>
    </w:p>
    <w:p w:rsidR="005123DD" w:rsidRPr="005123DD" w:rsidRDefault="005123DD" w:rsidP="005123DD">
      <w:pPr>
        <w:shd w:val="clear" w:color="auto" w:fill="FFFFFF"/>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Đối với Cơ sở công nghiệp có hạng nguy hiểm cháy, </w:t>
      </w:r>
      <w:r w:rsidRPr="005123DD">
        <w:rPr>
          <w:rFonts w:ascii="Arial" w:eastAsia="Times New Roman" w:hAnsi="Arial" w:cs="Arial"/>
          <w:color w:val="000000"/>
          <w:sz w:val="18"/>
          <w:szCs w:val="18"/>
        </w:rPr>
        <w:t>nổ A, </w:t>
      </w:r>
      <w:r w:rsidRPr="005123DD">
        <w:rPr>
          <w:rFonts w:ascii="Arial" w:eastAsia="Times New Roman" w:hAnsi="Arial" w:cs="Arial"/>
          <w:color w:val="000000"/>
          <w:sz w:val="18"/>
          <w:szCs w:val="18"/>
          <w:lang w:val="vi-VN"/>
        </w:rPr>
        <w:t>B, C, D, E (nhóm 16): Trường hợp phân hạng nguy hiểm cháy, nổ của cơ sở sản xuất công nghiệp tại Biên bản nghiệm thu hoặc Biên bản kiểm tra an toàn về phòng cháy và chữa cháy khác so với chi tiết tại nhóm 16 nêu trên thì thực hiện theo Biên bản nghiệm thu hoặc Biên bản kiểm tra an toàn về phòng cháy và chữa cháy.</w:t>
      </w:r>
    </w:p>
    <w:p w:rsidR="005123DD" w:rsidRPr="005123DD" w:rsidRDefault="005123DD" w:rsidP="005123DD">
      <w:pPr>
        <w:shd w:val="clear" w:color="auto" w:fill="FFFFFF"/>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rPr>
        <w:t>2. </w:t>
      </w:r>
      <w:r w:rsidRPr="005123DD">
        <w:rPr>
          <w:rFonts w:ascii="Arial" w:eastAsia="Times New Roman" w:hAnsi="Arial" w:cs="Arial"/>
          <w:color w:val="000000"/>
          <w:sz w:val="18"/>
          <w:szCs w:val="18"/>
          <w:lang w:val="vi-VN"/>
        </w:rPr>
        <w:t>Đối với cơ sở có nguy hiểm về cháy, nổ có tổng số tiền bảo hiểm của các tài sản tại một địa điểm từ 1.000 tỷ đồng trở lên (trừ cơ sở hạt nhân): Doanh nghiệp bảo hiểm và bên mua bảo hiểm thỏa thuận mức phí bảo hiểm trên cơ sở được doanh nghiệp nhận tái bảo hiểm chấp thuận. Trong mọi trường hợp, mức phí bảo hiểm không được thấp hơn mức phí bảo hiểm tương ứng với 1.000 tỷ đồng nhân (x) tỷ lệ phí bảo hiểm quy định tại khoản 1 Mục này.</w:t>
      </w:r>
    </w:p>
    <w:p w:rsidR="005123DD" w:rsidRPr="005123DD" w:rsidRDefault="005123DD" w:rsidP="005123DD">
      <w:pPr>
        <w:shd w:val="clear" w:color="auto" w:fill="FFFFFF"/>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3. Đối với cơ sở hạt nhân: Doanh nghiệp bảo hiểm và bên mua bảo hiểm thỏa thuận mức phí bảo hiểm trên cơ sở được doanh nghiệp nhận tái bảo hiểm chấp thuận.</w:t>
      </w:r>
    </w:p>
    <w:p w:rsidR="005123DD" w:rsidRPr="005123DD" w:rsidRDefault="005123DD" w:rsidP="005123DD">
      <w:pPr>
        <w:shd w:val="clear" w:color="auto" w:fill="FFFFFF"/>
        <w:spacing w:after="0" w:line="234" w:lineRule="atLeast"/>
        <w:rPr>
          <w:rFonts w:ascii="Arial" w:eastAsia="Times New Roman" w:hAnsi="Arial" w:cs="Arial"/>
          <w:color w:val="000000"/>
          <w:sz w:val="18"/>
          <w:szCs w:val="18"/>
        </w:rPr>
      </w:pPr>
      <w:bookmarkStart w:id="3" w:name="muc_2"/>
      <w:r w:rsidRPr="005123DD">
        <w:rPr>
          <w:rFonts w:ascii="Arial" w:eastAsia="Times New Roman" w:hAnsi="Arial" w:cs="Arial"/>
          <w:b/>
          <w:bCs/>
          <w:color w:val="000000"/>
          <w:sz w:val="18"/>
          <w:szCs w:val="18"/>
          <w:lang w:val="vi-VN"/>
        </w:rPr>
        <w:t>II. MỨC KHẤU TRỪ BẢO HIỂM</w:t>
      </w:r>
      <w:bookmarkEnd w:id="3"/>
    </w:p>
    <w:p w:rsidR="005123DD" w:rsidRPr="005123DD" w:rsidRDefault="005123DD" w:rsidP="005123DD">
      <w:pPr>
        <w:shd w:val="clear" w:color="auto" w:fill="FFFFFF"/>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1. Đối với cơ sở có nguy hiểm về cháy, nổ (trừ cơ sở hạt nhân) có tổng số tiền bảo hiểm của các tài sản tại một địa điểm dưới 1.000 tỷ đồng:</w:t>
      </w:r>
    </w:p>
    <w:p w:rsidR="005123DD" w:rsidRPr="005123DD" w:rsidRDefault="005123DD" w:rsidP="005123DD">
      <w:pPr>
        <w:shd w:val="clear" w:color="auto" w:fill="FFFFFF"/>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a) Đối với cơ sở có nguy hiểm về cháy, nổ thuộc loại M quy định tại khoản 1 Mục I Phụ lục này: Mức khấu trừ bảo hiểm tối đa là 1% số tiền bảo hiểm và không thấp hơn mức khấu trừ bảo hiểm quy định tại điểm c khoản này.</w:t>
      </w:r>
    </w:p>
    <w:p w:rsidR="005123DD" w:rsidRPr="005123DD" w:rsidRDefault="005123DD" w:rsidP="005123DD">
      <w:pPr>
        <w:shd w:val="clear" w:color="auto" w:fill="FFFFFF"/>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b) Đối với cơ sở có nguy hiểm về cháy, nổ thuộc loại N quy định tại khoản 1 Mục I Phụ lục này: Mức khấu trừ bảo hiểm tối đa là 10% số tiền bảo hiểm và không thấp hơn mức khấu trừ bảo hiểm quy định tại điểm c khoản này.</w:t>
      </w:r>
    </w:p>
    <w:p w:rsidR="005123DD" w:rsidRPr="005123DD" w:rsidRDefault="005123DD" w:rsidP="005123DD">
      <w:pPr>
        <w:shd w:val="clear" w:color="auto" w:fill="FFFFFF"/>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c) Trong mọi trường hợp, mức khấu trừ bảo hiểm quy định tại điểm a và điểm b khoản này không thấp hơn mức khấu trừ bảo hiểm sau:</w:t>
      </w:r>
    </w:p>
    <w:p w:rsidR="005123DD" w:rsidRPr="005123DD" w:rsidRDefault="005123DD" w:rsidP="005123DD">
      <w:pPr>
        <w:shd w:val="clear" w:color="auto" w:fill="FFFFFF"/>
        <w:spacing w:before="120" w:after="120" w:line="234" w:lineRule="atLeast"/>
        <w:jc w:val="right"/>
        <w:rPr>
          <w:rFonts w:ascii="Arial" w:eastAsia="Times New Roman" w:hAnsi="Arial" w:cs="Arial"/>
          <w:color w:val="000000"/>
          <w:sz w:val="18"/>
          <w:szCs w:val="18"/>
        </w:rPr>
      </w:pPr>
      <w:r w:rsidRPr="005123DD">
        <w:rPr>
          <w:rFonts w:ascii="Arial" w:eastAsia="Times New Roman" w:hAnsi="Arial" w:cs="Arial"/>
          <w:i/>
          <w:iCs/>
          <w:color w:val="000000"/>
          <w:sz w:val="18"/>
          <w:szCs w:val="18"/>
          <w:lang w:val="vi-VN"/>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92"/>
        <w:gridCol w:w="4348"/>
      </w:tblGrid>
      <w:tr w:rsidR="005123DD" w:rsidRPr="005123DD" w:rsidTr="005123DD">
        <w:trPr>
          <w:tblCellSpacing w:w="0" w:type="dxa"/>
        </w:trPr>
        <w:tc>
          <w:tcPr>
            <w:tcW w:w="440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b/>
                <w:bCs/>
                <w:color w:val="000000"/>
                <w:sz w:val="18"/>
                <w:szCs w:val="18"/>
                <w:lang w:val="vi-VN"/>
              </w:rPr>
              <w:t>Số tiền bảo hiểm</w:t>
            </w:r>
          </w:p>
        </w:tc>
        <w:tc>
          <w:tcPr>
            <w:tcW w:w="383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b/>
                <w:bCs/>
                <w:color w:val="000000"/>
                <w:sz w:val="18"/>
                <w:szCs w:val="18"/>
                <w:lang w:val="vi-VN"/>
              </w:rPr>
              <w:t>Mức khấu trừ bảo hiểm</w:t>
            </w:r>
          </w:p>
        </w:tc>
      </w:tr>
      <w:tr w:rsidR="005123DD" w:rsidRPr="005123DD" w:rsidTr="005123DD">
        <w:trPr>
          <w:tblCellSpacing w:w="0" w:type="dxa"/>
        </w:trPr>
        <w:tc>
          <w:tcPr>
            <w:tcW w:w="440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Đến 2.000</w:t>
            </w:r>
          </w:p>
        </w:tc>
        <w:tc>
          <w:tcPr>
            <w:tcW w:w="38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4</w:t>
            </w:r>
          </w:p>
        </w:tc>
      </w:tr>
      <w:tr w:rsidR="005123DD" w:rsidRPr="005123DD" w:rsidTr="005123DD">
        <w:trPr>
          <w:tblCellSpacing w:w="0" w:type="dxa"/>
        </w:trPr>
        <w:tc>
          <w:tcPr>
            <w:tcW w:w="440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Trên 2.000 đến 10.000</w:t>
            </w:r>
          </w:p>
        </w:tc>
        <w:tc>
          <w:tcPr>
            <w:tcW w:w="38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10</w:t>
            </w:r>
          </w:p>
        </w:tc>
      </w:tr>
      <w:tr w:rsidR="005123DD" w:rsidRPr="005123DD" w:rsidTr="005123DD">
        <w:trPr>
          <w:tblCellSpacing w:w="0" w:type="dxa"/>
        </w:trPr>
        <w:tc>
          <w:tcPr>
            <w:tcW w:w="440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Trên 10.000 đến 50.000</w:t>
            </w:r>
          </w:p>
        </w:tc>
        <w:tc>
          <w:tcPr>
            <w:tcW w:w="38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20</w:t>
            </w:r>
          </w:p>
        </w:tc>
      </w:tr>
      <w:tr w:rsidR="005123DD" w:rsidRPr="005123DD" w:rsidTr="005123DD">
        <w:trPr>
          <w:tblCellSpacing w:w="0" w:type="dxa"/>
        </w:trPr>
        <w:tc>
          <w:tcPr>
            <w:tcW w:w="440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Trên 50.000 đến 100.000</w:t>
            </w:r>
          </w:p>
        </w:tc>
        <w:tc>
          <w:tcPr>
            <w:tcW w:w="38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40</w:t>
            </w:r>
          </w:p>
        </w:tc>
      </w:tr>
      <w:tr w:rsidR="005123DD" w:rsidRPr="005123DD" w:rsidTr="005123DD">
        <w:trPr>
          <w:tblCellSpacing w:w="0" w:type="dxa"/>
        </w:trPr>
        <w:tc>
          <w:tcPr>
            <w:tcW w:w="440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Trên 100.000 đến 200.000</w:t>
            </w:r>
          </w:p>
        </w:tc>
        <w:tc>
          <w:tcPr>
            <w:tcW w:w="38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60</w:t>
            </w:r>
          </w:p>
        </w:tc>
      </w:tr>
      <w:tr w:rsidR="005123DD" w:rsidRPr="005123DD" w:rsidTr="005123DD">
        <w:trPr>
          <w:tblCellSpacing w:w="0" w:type="dxa"/>
        </w:trPr>
        <w:tc>
          <w:tcPr>
            <w:tcW w:w="440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t>Trên 200.000</w:t>
            </w:r>
          </w:p>
        </w:tc>
        <w:tc>
          <w:tcPr>
            <w:tcW w:w="38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5123DD" w:rsidRPr="005123DD" w:rsidRDefault="005123DD" w:rsidP="005123DD">
            <w:pPr>
              <w:spacing w:before="120" w:after="120" w:line="234" w:lineRule="atLeast"/>
              <w:jc w:val="center"/>
              <w:rPr>
                <w:rFonts w:ascii="Arial" w:eastAsia="Times New Roman" w:hAnsi="Arial" w:cs="Arial"/>
                <w:color w:val="000000"/>
                <w:sz w:val="18"/>
                <w:szCs w:val="18"/>
              </w:rPr>
            </w:pPr>
            <w:r w:rsidRPr="005123DD">
              <w:rPr>
                <w:rFonts w:ascii="Arial" w:eastAsia="Times New Roman" w:hAnsi="Arial" w:cs="Arial"/>
                <w:color w:val="000000"/>
                <w:sz w:val="18"/>
                <w:szCs w:val="18"/>
                <w:lang w:val="vi-VN"/>
              </w:rPr>
              <w:t>100</w:t>
            </w:r>
          </w:p>
        </w:tc>
      </w:tr>
    </w:tbl>
    <w:p w:rsidR="005123DD" w:rsidRPr="005123DD" w:rsidRDefault="005123DD" w:rsidP="005123DD">
      <w:pPr>
        <w:shd w:val="clear" w:color="auto" w:fill="FFFFFF"/>
        <w:spacing w:before="120" w:after="120" w:line="234" w:lineRule="atLeast"/>
        <w:rPr>
          <w:rFonts w:ascii="Arial" w:eastAsia="Times New Roman" w:hAnsi="Arial" w:cs="Arial"/>
          <w:color w:val="000000"/>
          <w:sz w:val="18"/>
          <w:szCs w:val="18"/>
        </w:rPr>
      </w:pPr>
      <w:r w:rsidRPr="005123DD">
        <w:rPr>
          <w:rFonts w:ascii="Arial" w:eastAsia="Times New Roman" w:hAnsi="Arial" w:cs="Arial"/>
          <w:color w:val="000000"/>
          <w:sz w:val="18"/>
          <w:szCs w:val="18"/>
          <w:lang w:val="vi-VN"/>
        </w:rPr>
        <w:lastRenderedPageBreak/>
        <w:t>2. Đối với cơ sở có nguy hiểm về cháy, nổ có tổng số tiền bảo hiểm của các tài sản tại một địa điểm từ 1.000 tỷ đồng trở lên và cơ sở hạt nhân, doanh nghiệp bảo hiểm và bên mua bảo hiểm thỏa thuận mức khấu trừ bảo hiểm trên cơ sở được doanh nghiệp nhận tái bảo hiểm chấp thuận.</w:t>
      </w:r>
    </w:p>
    <w:p w:rsidR="00150FAE" w:rsidRDefault="00150FAE">
      <w:bookmarkStart w:id="4" w:name="_GoBack"/>
      <w:bookmarkEnd w:id="4"/>
    </w:p>
    <w:sectPr w:rsidR="00150F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DD"/>
    <w:rsid w:val="00150FAE"/>
    <w:rsid w:val="0051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BA3E9-2593-4487-ACCB-68A53C15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3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23DD"/>
    <w:rPr>
      <w:color w:val="0000FF"/>
      <w:u w:val="single"/>
    </w:rPr>
  </w:style>
  <w:style w:type="character" w:styleId="FollowedHyperlink">
    <w:name w:val="FollowedHyperlink"/>
    <w:basedOn w:val="DefaultParagraphFont"/>
    <w:uiPriority w:val="99"/>
    <w:semiHidden/>
    <w:unhideWhenUsed/>
    <w:rsid w:val="005123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3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Luat-giao-duc-2019-367665.aspx" TargetMode="External"/><Relationship Id="rId13" Type="http://schemas.openxmlformats.org/officeDocument/2006/relationships/hyperlink" Target="https://thuvienphapluat.vn/van-ban/The-thao-Y-te/Luat-The-duc-The-thao-2006-77-2006-QH11-15870.aspx" TargetMode="External"/><Relationship Id="rId3" Type="http://schemas.openxmlformats.org/officeDocument/2006/relationships/webSettings" Target="webSettings.xml"/><Relationship Id="rId7" Type="http://schemas.openxmlformats.org/officeDocument/2006/relationships/hyperlink" Target="https://thuvienphapluat.vn/van-ban/Van-hoa-Xa-hoi/Luat-phong-chay-chua-chay-sua-doi-2013-215841.aspx" TargetMode="External"/><Relationship Id="rId12" Type="http://schemas.openxmlformats.org/officeDocument/2006/relationships/hyperlink" Target="https://thuvienphapluat.vn/van-ban/Van-hoa-Xa-hoi/Luat-du-lich-2017-32293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Luat-phong-chay-chua-chay-2001-47923.aspx" TargetMode="External"/><Relationship Id="rId11" Type="http://schemas.openxmlformats.org/officeDocument/2006/relationships/hyperlink" Target="https://thuvienphapluat.vn/van-ban/Van-hoa-Xa-hoi/Luat-du-lich-2017-322936.aspx" TargetMode="External"/><Relationship Id="rId5" Type="http://schemas.openxmlformats.org/officeDocument/2006/relationships/hyperlink" Target="https://thuvienphapluat.vn/van-ban/Tai-nguyen-Moi-truong/Nghi-dinh-136-2020-ND-CP-huong-dan-Luat-Phong-chay-va-chua-chay-458292.aspx" TargetMode="External"/><Relationship Id="rId15" Type="http://schemas.openxmlformats.org/officeDocument/2006/relationships/theme" Target="theme/theme1.xml"/><Relationship Id="rId10" Type="http://schemas.openxmlformats.org/officeDocument/2006/relationships/hyperlink" Target="https://thuvienphapluat.vn/van-ban/Van-hoa-Xa-hoi/Luat-du-lich-2017-322936.aspx" TargetMode="External"/><Relationship Id="rId4" Type="http://schemas.openxmlformats.org/officeDocument/2006/relationships/hyperlink" Target="https://thuvienphapluat.vn/van-ban/Tai-nguyen-Moi-truong/Nghi-dinh-136-2020-ND-CP-huong-dan-Luat-Phong-chay-va-chua-chay-458292.aspx" TargetMode="External"/><Relationship Id="rId9" Type="http://schemas.openxmlformats.org/officeDocument/2006/relationships/hyperlink" Target="https://thuvienphapluat.vn/van-ban/The-thao-Y-te/Luat-kham-benh-chua-benh-nam-2009-9871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2693</Words>
  <Characters>15352</Characters>
  <Application>Microsoft Office Word</Application>
  <DocSecurity>0</DocSecurity>
  <Lines>127</Lines>
  <Paragraphs>36</Paragraphs>
  <ScaleCrop>false</ScaleCrop>
  <Company/>
  <LinksUpToDate>false</LinksUpToDate>
  <CharactersWithSpaces>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2023-04-17T02:00:00Z</dcterms:created>
  <dcterms:modified xsi:type="dcterms:W3CDTF">2023-04-17T02:00:00Z</dcterms:modified>
</cp:coreProperties>
</file>