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E7" w:rsidRPr="00FD3968" w:rsidRDefault="008A53E7" w:rsidP="008A53E7">
      <w:pPr>
        <w:spacing w:after="120"/>
        <w:jc w:val="center"/>
        <w:rPr>
          <w:rFonts w:ascii="Arial" w:hAnsi="Arial" w:cs="Arial"/>
          <w:b/>
          <w:szCs w:val="20"/>
        </w:rPr>
      </w:pPr>
      <w:r>
        <w:rPr>
          <w:rFonts w:ascii="Arial" w:hAnsi="Arial" w:cs="Arial"/>
          <w:b/>
          <w:szCs w:val="20"/>
        </w:rPr>
        <w:t>PHỤ LỤC 4</w:t>
      </w:r>
    </w:p>
    <w:p w:rsidR="008A53E7" w:rsidRPr="00EA3312" w:rsidRDefault="008A53E7" w:rsidP="008A53E7">
      <w:pPr>
        <w:pStyle w:val="M2"/>
        <w:spacing w:after="120"/>
        <w:ind w:firstLine="0"/>
        <w:jc w:val="center"/>
        <w:rPr>
          <w:rFonts w:ascii="Arial" w:hAnsi="Arial" w:cs="Arial"/>
          <w:b w:val="0"/>
          <w:i/>
          <w:iCs/>
          <w:sz w:val="20"/>
          <w:szCs w:val="20"/>
          <w:lang w:val="es-ES_tradnl"/>
        </w:rPr>
      </w:pPr>
      <w:r w:rsidRPr="00EA3312">
        <w:rPr>
          <w:rFonts w:ascii="Arial" w:hAnsi="Arial" w:cs="Arial"/>
          <w:b w:val="0"/>
          <w:sz w:val="20"/>
          <w:szCs w:val="20"/>
        </w:rPr>
        <w:t>HƯỚNG DẪN CHĂM SÓC, ĐIỀU TRỊ NGƯỜI HIẾN MÁU CÓ CÁC TAI BIẾN KHÔNG MONG MUỐN XẢY RA TRONG VÀ SAU HIẾN MÁU</w:t>
      </w:r>
      <w:r>
        <w:rPr>
          <w:rFonts w:ascii="Arial" w:hAnsi="Arial" w:cs="Arial"/>
          <w:b w:val="0"/>
          <w:sz w:val="20"/>
          <w:szCs w:val="20"/>
        </w:rPr>
        <w:br/>
      </w:r>
      <w:r w:rsidRPr="00EA3312">
        <w:rPr>
          <w:rFonts w:ascii="Arial" w:hAnsi="Arial" w:cs="Arial"/>
          <w:b w:val="0"/>
          <w:sz w:val="20"/>
          <w:szCs w:val="20"/>
        </w:rPr>
        <w:t>(</w:t>
      </w:r>
      <w:r w:rsidRPr="00EA3312">
        <w:rPr>
          <w:rFonts w:ascii="Arial" w:hAnsi="Arial" w:cs="Arial"/>
          <w:b w:val="0"/>
          <w:i/>
          <w:iCs/>
          <w:sz w:val="20"/>
          <w:szCs w:val="20"/>
        </w:rPr>
        <w:t>Ban hành kèm theo Thông tư số 26/2013/TT-BYT ngày 16/9/2013</w:t>
      </w:r>
      <w:r>
        <w:rPr>
          <w:rFonts w:ascii="Arial" w:hAnsi="Arial" w:cs="Arial"/>
          <w:b w:val="0"/>
          <w:i/>
          <w:iCs/>
          <w:sz w:val="20"/>
          <w:szCs w:val="20"/>
        </w:rPr>
        <w:t xml:space="preserve"> </w:t>
      </w:r>
      <w:r w:rsidRPr="00EA3312">
        <w:rPr>
          <w:rFonts w:ascii="Arial" w:hAnsi="Arial" w:cs="Arial"/>
          <w:b w:val="0"/>
          <w:i/>
          <w:iCs/>
          <w:sz w:val="20"/>
          <w:szCs w:val="20"/>
          <w:lang w:val="es-ES_tradnl"/>
        </w:rPr>
        <w:t>của Bộ trưởng Bộ Y tế)</w:t>
      </w:r>
    </w:p>
    <w:p w:rsidR="008A53E7" w:rsidRPr="00EA3312" w:rsidRDefault="008A53E7" w:rsidP="008A53E7">
      <w:pPr>
        <w:autoSpaceDE w:val="0"/>
        <w:autoSpaceDN w:val="0"/>
        <w:adjustRightInd w:val="0"/>
        <w:spacing w:after="120"/>
        <w:jc w:val="both"/>
        <w:rPr>
          <w:rFonts w:ascii="Arial" w:hAnsi="Arial" w:cs="Arial"/>
          <w:b/>
          <w:sz w:val="20"/>
          <w:szCs w:val="20"/>
          <w:lang w:val="es-ES_tradnl"/>
        </w:rPr>
      </w:pPr>
      <w:r w:rsidRPr="00EA3312">
        <w:rPr>
          <w:rFonts w:ascii="Arial" w:hAnsi="Arial" w:cs="Arial"/>
          <w:b/>
          <w:sz w:val="20"/>
          <w:szCs w:val="20"/>
          <w:lang w:val="es-ES_tradnl"/>
        </w:rPr>
        <w:t>1. Nguyên tắc chung</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Phát hiện sớm và chăm sóc kịp thời người hiến máu có các tai biến không mong muốn xảy ra trong và sau hiến máu;</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Phải ghi hồ sơ diễn biến tình trạng sức khỏe và xử trí; cần phân tích tìm hiểu nguyên nhân, có biện pháp khắc phục và dự phòng kịp thời;</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Các trường hợp nghiêm trọng có thể ảnh hưởng đến tính mạng, có thể gây ra các di chứng, bệnh lý lâu dài phải được báo cáo theo quy định tại Điều 58 Thông tư này.</w:t>
      </w:r>
    </w:p>
    <w:p w:rsidR="008A53E7" w:rsidRPr="00EA3312" w:rsidRDefault="008A53E7" w:rsidP="008A53E7">
      <w:pPr>
        <w:autoSpaceDE w:val="0"/>
        <w:autoSpaceDN w:val="0"/>
        <w:adjustRightInd w:val="0"/>
        <w:spacing w:after="120"/>
        <w:jc w:val="both"/>
        <w:rPr>
          <w:rFonts w:ascii="Arial" w:hAnsi="Arial" w:cs="Arial"/>
          <w:b/>
          <w:sz w:val="20"/>
          <w:szCs w:val="20"/>
          <w:lang w:val="es-ES_tradnl"/>
        </w:rPr>
      </w:pPr>
      <w:r w:rsidRPr="00EA3312">
        <w:rPr>
          <w:rFonts w:ascii="Arial" w:hAnsi="Arial" w:cs="Arial"/>
          <w:b/>
          <w:sz w:val="20"/>
          <w:szCs w:val="20"/>
          <w:lang w:val="es-ES_tradnl"/>
        </w:rPr>
        <w:t>2. Một số tai biến không mong muốn có thể xảy ra ở người hiến máu</w:t>
      </w:r>
    </w:p>
    <w:p w:rsidR="008A53E7" w:rsidRPr="00EA3312" w:rsidRDefault="008A53E7" w:rsidP="008A53E7">
      <w:pPr>
        <w:autoSpaceDE w:val="0"/>
        <w:autoSpaceDN w:val="0"/>
        <w:adjustRightInd w:val="0"/>
        <w:spacing w:after="120"/>
        <w:jc w:val="both"/>
        <w:rPr>
          <w:rFonts w:ascii="Arial" w:hAnsi="Arial" w:cs="Arial"/>
          <w:sz w:val="20"/>
          <w:szCs w:val="20"/>
        </w:rPr>
      </w:pPr>
      <w:r w:rsidRPr="00EA3312">
        <w:rPr>
          <w:rFonts w:ascii="Arial" w:hAnsi="Arial" w:cs="Arial"/>
          <w:sz w:val="20"/>
          <w:szCs w:val="20"/>
        </w:rPr>
        <w:t>a) Tai biến do tổn thương khu trú:</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Tổn thương mạch máu: tụ máu, chọc vào động mạch, viêm tắc mạch máu, phình động mạch, rò động tĩnh mạch;</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Tổn thương thần kinh: Tổn thương dây thần kinh ngoại vi;</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Tổn thương khác: tổn thương gân-cơ, nhiễm trùng tại chỗ.</w:t>
      </w:r>
    </w:p>
    <w:p w:rsidR="008A53E7" w:rsidRPr="00EA3312" w:rsidRDefault="008A53E7" w:rsidP="008A53E7">
      <w:pPr>
        <w:autoSpaceDE w:val="0"/>
        <w:autoSpaceDN w:val="0"/>
        <w:adjustRightInd w:val="0"/>
        <w:spacing w:after="120"/>
        <w:jc w:val="both"/>
        <w:rPr>
          <w:rFonts w:ascii="Arial" w:hAnsi="Arial" w:cs="Arial"/>
          <w:bCs/>
          <w:sz w:val="20"/>
          <w:szCs w:val="20"/>
          <w:lang w:val="es-ES_tradnl"/>
        </w:rPr>
      </w:pPr>
      <w:r w:rsidRPr="00EA3312">
        <w:rPr>
          <w:rFonts w:ascii="Arial" w:hAnsi="Arial" w:cs="Arial"/>
          <w:bCs/>
          <w:sz w:val="20"/>
          <w:szCs w:val="20"/>
          <w:lang w:val="es-ES_tradnl"/>
        </w:rPr>
        <w:t xml:space="preserve">b) Tai biến ảnh hưởng toàn thân: </w:t>
      </w:r>
    </w:p>
    <w:p w:rsidR="008A53E7" w:rsidRPr="00EA3312" w:rsidRDefault="008A53E7" w:rsidP="008A53E7">
      <w:pPr>
        <w:autoSpaceDE w:val="0"/>
        <w:autoSpaceDN w:val="0"/>
        <w:adjustRightInd w:val="0"/>
        <w:spacing w:after="120"/>
        <w:jc w:val="both"/>
        <w:rPr>
          <w:rFonts w:ascii="Arial" w:hAnsi="Arial" w:cs="Arial"/>
          <w:bCs/>
          <w:sz w:val="20"/>
          <w:szCs w:val="20"/>
          <w:lang w:val="es-ES_tradnl"/>
        </w:rPr>
      </w:pPr>
      <w:r w:rsidRPr="00EA3312">
        <w:rPr>
          <w:rFonts w:ascii="Arial" w:hAnsi="Arial" w:cs="Arial"/>
          <w:bCs/>
          <w:sz w:val="20"/>
          <w:szCs w:val="20"/>
          <w:lang w:val="es-ES_tradnl"/>
        </w:rPr>
        <w:t>- Ngất do phản ứng cường phó giao cảm;</w:t>
      </w:r>
    </w:p>
    <w:p w:rsidR="008A53E7" w:rsidRPr="00EA3312" w:rsidRDefault="008A53E7" w:rsidP="008A53E7">
      <w:pPr>
        <w:autoSpaceDE w:val="0"/>
        <w:autoSpaceDN w:val="0"/>
        <w:adjustRightInd w:val="0"/>
        <w:spacing w:after="120"/>
        <w:jc w:val="both"/>
        <w:rPr>
          <w:rFonts w:ascii="Arial" w:hAnsi="Arial" w:cs="Arial"/>
          <w:bCs/>
          <w:sz w:val="20"/>
          <w:szCs w:val="20"/>
          <w:lang w:val="es-ES_tradnl"/>
        </w:rPr>
      </w:pPr>
      <w:r w:rsidRPr="00EA3312">
        <w:rPr>
          <w:rFonts w:ascii="Arial" w:hAnsi="Arial" w:cs="Arial"/>
          <w:bCs/>
          <w:sz w:val="20"/>
          <w:szCs w:val="20"/>
          <w:lang w:val="es-ES_tradnl"/>
        </w:rPr>
        <w:t>- Tai nạn có liên quan đến ngất do phản ứng cường phó giao cảm.</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c) Các tai biến ngẫu nhiên trùng hợp: Đau thắt ngực, nhồi máu cơ tim, tai biến mạch não, hysteria.</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d) Các tai biến liên quan đến gạn tách thành phần máu:</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Ngộ độc xitrat;</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Dị ứng, phản vệ;</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Tan máu cấp;</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Tắc mạch khí.</w:t>
      </w:r>
    </w:p>
    <w:p w:rsidR="008A53E7" w:rsidRPr="00EA3312" w:rsidRDefault="008A53E7" w:rsidP="008A53E7">
      <w:pPr>
        <w:autoSpaceDE w:val="0"/>
        <w:autoSpaceDN w:val="0"/>
        <w:adjustRightInd w:val="0"/>
        <w:spacing w:after="120"/>
        <w:jc w:val="both"/>
        <w:rPr>
          <w:rFonts w:ascii="Arial" w:hAnsi="Arial" w:cs="Arial"/>
          <w:b/>
          <w:sz w:val="20"/>
          <w:szCs w:val="20"/>
          <w:lang w:val="es-ES_tradnl"/>
        </w:rPr>
      </w:pPr>
      <w:r w:rsidRPr="00EA3312">
        <w:rPr>
          <w:rFonts w:ascii="Arial" w:hAnsi="Arial" w:cs="Arial"/>
          <w:b/>
          <w:sz w:val="20"/>
          <w:szCs w:val="20"/>
          <w:lang w:val="es-ES_tradnl"/>
        </w:rPr>
        <w:t>3. Dự phòng và xử lý các tai biến không mong muốn ở người hiến máu</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Các cơ sở tiếp nhận máu phải xây dựng các hướng dẫn, quy trình, quy định được người lãnh đạo cơ sở phê duyệt về việc thực hiện các biện pháp dự phòng và xử trí các tai biến không mong muốn ở người hiến máu;</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Nhân viên y tế, tình nguyện viên tham gia thực hiện tiếp nhận máu và chăm sóc người hiến máu cần phải được tập huấn và thành thạo về các biện pháp dự phòng và xử trí các tai biến ở người hiến máu;</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Phải thực hiện các biện pháp nhằm phòng ngừa tai biến ở người hiến máu;</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Có đầy đủ, sẵn sàng các hướng dẫn, quy trình, quy định và các phương tiện, dụng cụ cần thiết để xử trí các tai biến ở người hiến máu tại các khu vực tiếp nhận và chăm sóc người hiến máu;</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Người hiến máu cần được theo dõi, chăm sóc cho đến khi ổn định. Cơ sở tiếp nhận máu phải duy trì liên lạc với người hiến máu đến khi hồi phục hoàn toàn.</w:t>
      </w:r>
    </w:p>
    <w:p w:rsidR="008A53E7" w:rsidRPr="00EA3312" w:rsidRDefault="008A53E7" w:rsidP="008A53E7">
      <w:pPr>
        <w:autoSpaceDE w:val="0"/>
        <w:autoSpaceDN w:val="0"/>
        <w:adjustRightInd w:val="0"/>
        <w:spacing w:after="120"/>
        <w:jc w:val="both"/>
        <w:rPr>
          <w:rFonts w:ascii="Arial" w:hAnsi="Arial" w:cs="Arial"/>
          <w:b/>
          <w:sz w:val="20"/>
          <w:szCs w:val="20"/>
          <w:lang w:val="es-ES_tradnl"/>
        </w:rPr>
      </w:pPr>
      <w:r w:rsidRPr="00EA3312">
        <w:rPr>
          <w:rFonts w:ascii="Arial" w:hAnsi="Arial" w:cs="Arial"/>
          <w:b/>
          <w:sz w:val="20"/>
          <w:szCs w:val="20"/>
          <w:lang w:val="es-ES_tradnl"/>
        </w:rPr>
        <w:t>4. Hồ sơ quản lý các tai biến không mong muốn ở người hiến máu</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Báo cáo về các tai biến xảy ra ở người hiến máu cho người phụ trách cơ sở tiếp nhận máu;</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Diễn biến và xử trí các tai biến ở người hiến máu cần được ghi hồ sơ;</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lastRenderedPageBreak/>
        <w:t>- Các thông tin về các tai biến ở người hiến máu phải được phân tích, đề xuất và thực hiện biện pháp khắc phục và dự phòng.</w:t>
      </w:r>
    </w:p>
    <w:p w:rsidR="008A53E7" w:rsidRPr="00EA3312" w:rsidRDefault="008A53E7" w:rsidP="008A53E7">
      <w:pPr>
        <w:autoSpaceDE w:val="0"/>
        <w:autoSpaceDN w:val="0"/>
        <w:adjustRightInd w:val="0"/>
        <w:spacing w:after="120"/>
        <w:jc w:val="both"/>
        <w:rPr>
          <w:rFonts w:ascii="Arial" w:hAnsi="Arial" w:cs="Arial"/>
          <w:b/>
          <w:sz w:val="20"/>
          <w:szCs w:val="20"/>
          <w:lang w:val="es-ES_tradnl"/>
        </w:rPr>
      </w:pPr>
      <w:r w:rsidRPr="00EA3312">
        <w:rPr>
          <w:rFonts w:ascii="Arial" w:hAnsi="Arial" w:cs="Arial"/>
          <w:b/>
          <w:sz w:val="20"/>
          <w:szCs w:val="20"/>
          <w:lang w:val="es-ES_tradnl"/>
        </w:rPr>
        <w:t>5. Cung cấp thông tin cho người hiến máu về các tai biến không mong muốn khi hiến máu</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Phải cung cấp thông tin về những tai biến có thể xảy ra khi hiến máu và các biện pháp phòng ngừa;</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Người hiến máu phải được thông báo về tai biến đã xảy ra với người đó và các biện pháp xử trí được áp dụng. Người hiến máu cần được cung cấp cách thức liên lạc với bác sỹ khi cần;</w:t>
      </w:r>
    </w:p>
    <w:p w:rsidR="008A53E7" w:rsidRPr="00EA3312" w:rsidRDefault="008A53E7" w:rsidP="008A53E7">
      <w:pPr>
        <w:autoSpaceDE w:val="0"/>
        <w:autoSpaceDN w:val="0"/>
        <w:adjustRightInd w:val="0"/>
        <w:spacing w:after="120"/>
        <w:jc w:val="both"/>
        <w:rPr>
          <w:rFonts w:ascii="Arial" w:hAnsi="Arial" w:cs="Arial"/>
          <w:sz w:val="20"/>
          <w:szCs w:val="20"/>
          <w:lang w:val="es-ES_tradnl"/>
        </w:rPr>
      </w:pPr>
      <w:r w:rsidRPr="00EA3312">
        <w:rPr>
          <w:rFonts w:ascii="Arial" w:hAnsi="Arial" w:cs="Arial"/>
          <w:sz w:val="20"/>
          <w:szCs w:val="20"/>
          <w:lang w:val="es-ES_tradnl"/>
        </w:rPr>
        <w:t>- Những người hiến máu đã hoặc đang có phản ứng cường phó giao cảm cần được chỉ dẫn về nguy cơ phản ứng ngất có thể xuất hiện muộn nhiều giờ sau lấy máu. Những người có nguy cơ này cần được hướng dẫn ít nhất trong 12 giờ sau hiến máu không được thực hiện những công việc, hoạt động được quy định tại Khoản 5 Điều 5 Thông tư này.</w:t>
      </w:r>
    </w:p>
    <w:p w:rsidR="00FC38F2" w:rsidRDefault="00FC38F2">
      <w:bookmarkStart w:id="0" w:name="_GoBack"/>
      <w:bookmarkEnd w:id="0"/>
    </w:p>
    <w:sectPr w:rsidR="00FC3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E7"/>
    <w:rsid w:val="008A53E7"/>
    <w:rsid w:val="00FC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C7627-90D8-4F9A-A070-3FAAF073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E7"/>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
    <w:name w:val="M2"/>
    <w:basedOn w:val="Normal"/>
    <w:link w:val="M2Char"/>
    <w:rsid w:val="008A53E7"/>
    <w:pPr>
      <w:ind w:firstLine="748"/>
    </w:pPr>
    <w:rPr>
      <w:b/>
      <w:bCs/>
    </w:rPr>
  </w:style>
  <w:style w:type="character" w:customStyle="1" w:styleId="M2Char">
    <w:name w:val="M2 Char"/>
    <w:link w:val="M2"/>
    <w:locked/>
    <w:rsid w:val="008A53E7"/>
    <w:rPr>
      <w:rFonts w:ascii="Times New Roman" w:eastAsia="Times New Roman" w:hAnsi="Times New Roman" w:cs="Times New Roman"/>
      <w:b/>
      <w:bCs/>
      <w:noProof/>
      <w:sz w:val="24"/>
      <w:szCs w:val="24"/>
    </w:rPr>
  </w:style>
  <w:style w:type="paragraph" w:customStyle="1" w:styleId="Char">
    <w:name w:val=" Char"/>
    <w:basedOn w:val="Normal"/>
    <w:autoRedefine/>
    <w:rsid w:val="008A53E7"/>
    <w:pPr>
      <w:spacing w:after="160" w:line="240" w:lineRule="exact"/>
    </w:pPr>
    <w:rPr>
      <w:rFonts w:ascii="Verdana" w:hAnsi="Verdana" w:cs="Verdana"/>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2023-04-08T01:10:00Z</dcterms:created>
  <dcterms:modified xsi:type="dcterms:W3CDTF">2023-04-08T01:11:00Z</dcterms:modified>
</cp:coreProperties>
</file>