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15"/>
        <w:gridCol w:w="5946"/>
      </w:tblGrid>
      <w:tr w:rsidR="00696213" w:rsidRPr="007D7114" w:rsidTr="004D32BD">
        <w:tc>
          <w:tcPr>
            <w:tcW w:w="3315" w:type="dxa"/>
            <w:tcBorders>
              <w:top w:val="nil"/>
              <w:left w:val="nil"/>
              <w:bottom w:val="nil"/>
              <w:right w:val="nil"/>
            </w:tcBorders>
            <w:tcMar>
              <w:top w:w="0" w:type="dxa"/>
              <w:left w:w="108" w:type="dxa"/>
              <w:bottom w:w="0" w:type="dxa"/>
              <w:right w:w="108" w:type="dxa"/>
            </w:tcMar>
          </w:tcPr>
          <w:p w:rsidR="00696213" w:rsidRPr="007D7114" w:rsidRDefault="00696213" w:rsidP="004D32BD">
            <w:pPr>
              <w:spacing w:before="120"/>
              <w:jc w:val="cente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601345</wp:posOffset>
                      </wp:positionH>
                      <wp:positionV relativeFrom="paragraph">
                        <wp:posOffset>710564</wp:posOffset>
                      </wp:positionV>
                      <wp:extent cx="701675" cy="0"/>
                      <wp:effectExtent l="0" t="0" r="222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925D6F" id="_x0000_t32" coordsize="21600,21600" o:spt="32" o:oned="t" path="m,l21600,21600e" filled="f">
                      <v:path arrowok="t" fillok="f" o:connecttype="none"/>
                      <o:lock v:ext="edit" shapetype="t"/>
                    </v:shapetype>
                    <v:shape id="Straight Arrow Connector 6" o:spid="_x0000_s1026" type="#_x0000_t32" style="position:absolute;margin-left:47.35pt;margin-top:55.95pt;width:55.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"/>
                  </w:pict>
                </mc:Fallback>
              </mc:AlternateContent>
            </w:r>
            <w:r w:rsidRPr="007D7114">
              <w:rPr>
                <w:b/>
                <w:bCs/>
                <w:sz w:val="26"/>
                <w:szCs w:val="26"/>
              </w:rPr>
              <w:t xml:space="preserve">TÊN </w:t>
            </w:r>
            <w:r w:rsidRPr="007D7114">
              <w:rPr>
                <w:rFonts w:ascii="Times New Roman Bold" w:hAnsi="Times New Roman Bold"/>
                <w:b/>
                <w:spacing w:val="-2"/>
                <w:sz w:val="26"/>
                <w:szCs w:val="26"/>
              </w:rPr>
              <w:t>TỔ CHỨC ĐẠI DIỆN NGƯỜI SỞ HỮU TRÁI PHIẾU</w:t>
            </w:r>
            <w:r w:rsidRPr="007D7114">
              <w:rPr>
                <w:b/>
                <w:bCs/>
                <w:sz w:val="26"/>
                <w:szCs w:val="26"/>
                <w:lang w:val="vi-VN"/>
              </w:rPr>
              <w:br/>
            </w:r>
          </w:p>
        </w:tc>
        <w:tc>
          <w:tcPr>
            <w:tcW w:w="5946" w:type="dxa"/>
            <w:tcBorders>
              <w:top w:val="nil"/>
              <w:left w:val="nil"/>
              <w:bottom w:val="nil"/>
              <w:right w:val="nil"/>
            </w:tcBorders>
            <w:tcMar>
              <w:top w:w="0" w:type="dxa"/>
              <w:left w:w="108" w:type="dxa"/>
              <w:bottom w:w="0" w:type="dxa"/>
              <w:right w:w="108" w:type="dxa"/>
            </w:tcMar>
          </w:tcPr>
          <w:p w:rsidR="00696213" w:rsidRPr="007D7114" w:rsidRDefault="00696213" w:rsidP="004D32BD">
            <w:pPr>
              <w:spacing w:before="120"/>
              <w:jc w:val="cente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1164590</wp:posOffset>
                      </wp:positionH>
                      <wp:positionV relativeFrom="paragraph">
                        <wp:posOffset>523874</wp:posOffset>
                      </wp:positionV>
                      <wp:extent cx="111442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4378C6" id="Straight Arrow Connector 5" o:spid="_x0000_s1026" type="#_x0000_t32" style="position:absolute;margin-left:91.7pt;margin-top:41.25pt;width:87.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"/>
                  </w:pict>
                </mc:Fallback>
              </mc:AlternateContent>
            </w:r>
            <w:r w:rsidRPr="007D7114">
              <w:rPr>
                <w:b/>
                <w:bCs/>
                <w:sz w:val="26"/>
                <w:szCs w:val="26"/>
                <w:lang w:val="vi-VN"/>
              </w:rPr>
              <w:t>CỘNG HÒA XÃ HỘI CHỦ NGHĨA VIỆT NAM</w:t>
            </w:r>
            <w:r w:rsidRPr="007D7114">
              <w:rPr>
                <w:b/>
                <w:bCs/>
                <w:sz w:val="26"/>
                <w:szCs w:val="26"/>
                <w:lang w:val="vi-VN"/>
              </w:rPr>
              <w:br/>
              <w:t xml:space="preserve">Độc lập - Tự do - Hạnh phúc </w:t>
            </w:r>
          </w:p>
        </w:tc>
      </w:tr>
      <w:tr w:rsidR="00696213" w:rsidRPr="007D7114" w:rsidTr="004D32BD">
        <w:trPr>
          <w:trHeight w:val="360"/>
        </w:trPr>
        <w:tc>
          <w:tcPr>
            <w:tcW w:w="3315" w:type="dxa"/>
            <w:tcBorders>
              <w:top w:val="nil"/>
              <w:left w:val="nil"/>
              <w:bottom w:val="nil"/>
              <w:right w:val="nil"/>
            </w:tcBorders>
            <w:tcMar>
              <w:top w:w="0" w:type="dxa"/>
              <w:left w:w="108" w:type="dxa"/>
              <w:bottom w:w="0" w:type="dxa"/>
              <w:right w:w="108" w:type="dxa"/>
            </w:tcMar>
          </w:tcPr>
          <w:p w:rsidR="00696213" w:rsidRPr="007D7114" w:rsidRDefault="00696213" w:rsidP="004D32BD">
            <w:pPr>
              <w:spacing w:after="0"/>
              <w:jc w:val="center"/>
            </w:pPr>
            <w:r w:rsidRPr="007D7114">
              <w:rPr>
                <w:lang w:val="vi-VN"/>
              </w:rPr>
              <w:t>Số: ......</w:t>
            </w:r>
          </w:p>
          <w:p w:rsidR="00696213" w:rsidRPr="007D7114" w:rsidRDefault="00696213" w:rsidP="004D32BD">
            <w:pPr>
              <w:spacing w:after="0"/>
              <w:jc w:val="center"/>
            </w:pPr>
            <w:r w:rsidRPr="007D7114">
              <w:rPr>
                <w:lang w:val="vi-VN"/>
              </w:rPr>
              <w:t xml:space="preserve">V/v </w:t>
            </w:r>
            <w:r w:rsidRPr="007D7114">
              <w:t xml:space="preserve">Báo cáo định kỳ tình hình cung cấp dịch vụ </w:t>
            </w:r>
            <w:r>
              <w:t xml:space="preserve">của tổ chức </w:t>
            </w:r>
            <w:r w:rsidRPr="007D7114">
              <w:t>đại diện người sở hữu trái phiếu</w:t>
            </w:r>
          </w:p>
        </w:tc>
        <w:tc>
          <w:tcPr>
            <w:tcW w:w="5946" w:type="dxa"/>
            <w:tcBorders>
              <w:top w:val="nil"/>
              <w:left w:val="nil"/>
              <w:bottom w:val="nil"/>
              <w:right w:val="nil"/>
            </w:tcBorders>
            <w:tcMar>
              <w:top w:w="0" w:type="dxa"/>
              <w:left w:w="108" w:type="dxa"/>
              <w:bottom w:w="0" w:type="dxa"/>
              <w:right w:w="108" w:type="dxa"/>
            </w:tcMar>
          </w:tcPr>
          <w:p w:rsidR="00696213" w:rsidRPr="007D7114" w:rsidRDefault="00696213" w:rsidP="004D32BD">
            <w:pPr>
              <w:spacing w:before="120"/>
              <w:jc w:val="center"/>
              <w:rPr>
                <w:sz w:val="28"/>
                <w:szCs w:val="28"/>
              </w:rPr>
            </w:pPr>
            <w:r w:rsidRPr="007D7114">
              <w:rPr>
                <w:i/>
                <w:iCs/>
                <w:sz w:val="28"/>
                <w:szCs w:val="28"/>
              </w:rPr>
              <w:t>....</w:t>
            </w:r>
            <w:r w:rsidRPr="007D7114">
              <w:rPr>
                <w:i/>
                <w:iCs/>
                <w:sz w:val="28"/>
                <w:szCs w:val="28"/>
                <w:lang w:val="vi-VN"/>
              </w:rPr>
              <w:t xml:space="preserve">, ngày  tháng  năm </w:t>
            </w:r>
            <w:r w:rsidRPr="007D7114">
              <w:rPr>
                <w:i/>
                <w:iCs/>
                <w:sz w:val="28"/>
                <w:szCs w:val="28"/>
              </w:rPr>
              <w:t>20..</w:t>
            </w:r>
          </w:p>
        </w:tc>
      </w:tr>
    </w:tbl>
    <w:p w:rsidR="00696213" w:rsidRPr="007D7114" w:rsidRDefault="00696213" w:rsidP="00696213">
      <w:pPr>
        <w:spacing w:after="160" w:line="259" w:lineRule="auto"/>
        <w:rPr>
          <w:sz w:val="28"/>
        </w:rPr>
      </w:pPr>
    </w:p>
    <w:p w:rsidR="00696213" w:rsidRDefault="00696213" w:rsidP="00696213">
      <w:pPr>
        <w:spacing w:before="120" w:after="120" w:line="360" w:lineRule="auto"/>
        <w:jc w:val="center"/>
        <w:rPr>
          <w:sz w:val="28"/>
        </w:rPr>
      </w:pPr>
      <w:r w:rsidRPr="007D7114">
        <w:rPr>
          <w:sz w:val="28"/>
        </w:rPr>
        <w:t>Kính gửi: ............................................</w:t>
      </w:r>
    </w:p>
    <w:p w:rsidR="00696213" w:rsidRDefault="00696213" w:rsidP="00696213">
      <w:pPr>
        <w:spacing w:before="120" w:after="120"/>
        <w:jc w:val="center"/>
        <w:rPr>
          <w:i/>
          <w:sz w:val="28"/>
        </w:rPr>
      </w:pPr>
      <w:r w:rsidRPr="00C40A58">
        <w:rPr>
          <w:i/>
          <w:sz w:val="28"/>
        </w:rPr>
        <w:t>(Kỳ báo cáo quý/ năm: từ ngày … đến ngày …</w:t>
      </w:r>
      <w:r>
        <w:rPr>
          <w:i/>
          <w:sz w:val="28"/>
        </w:rPr>
        <w:t xml:space="preserve">; </w:t>
      </w:r>
      <w:r w:rsidRPr="00F77288">
        <w:rPr>
          <w:i/>
          <w:sz w:val="28"/>
        </w:rPr>
        <w:t xml:space="preserve">Doanh nghiệp thực hiện nghĩa vụ báo cáo khi </w:t>
      </w:r>
      <w:r>
        <w:rPr>
          <w:i/>
          <w:sz w:val="28"/>
        </w:rPr>
        <w:t xml:space="preserve">trái phiếu mà doanh nghiệp làm đại diện người sở hữu trái phiếu </w:t>
      </w:r>
      <w:r w:rsidRPr="00F77288">
        <w:rPr>
          <w:i/>
          <w:sz w:val="28"/>
        </w:rPr>
        <w:t>còn dư nợ trong kỳ báo cáo</w:t>
      </w:r>
      <w:r w:rsidRPr="00C40A58">
        <w:rPr>
          <w:i/>
          <w:sz w:val="28"/>
        </w:rPr>
        <w:t>)</w:t>
      </w:r>
    </w:p>
    <w:p w:rsidR="00696213" w:rsidRDefault="00696213" w:rsidP="00696213">
      <w:pPr>
        <w:spacing w:before="120" w:after="120"/>
        <w:ind w:firstLine="720"/>
        <w:jc w:val="both"/>
        <w:rPr>
          <w:sz w:val="28"/>
        </w:rPr>
      </w:pPr>
      <w:r w:rsidRPr="007D7114">
        <w:rPr>
          <w:sz w:val="28"/>
        </w:rPr>
        <w:t xml:space="preserve">Căn cứ quy định tại </w:t>
      </w:r>
      <w:r w:rsidRPr="007D7114">
        <w:rPr>
          <w:spacing w:val="-4"/>
          <w:sz w:val="28"/>
        </w:rPr>
        <w:t xml:space="preserve">Thông tư số </w:t>
      </w:r>
      <w:r>
        <w:rPr>
          <w:spacing w:val="-4"/>
          <w:sz w:val="28"/>
        </w:rPr>
        <w:t>76/2024/TT</w:t>
      </w:r>
      <w:r w:rsidRPr="007D7114">
        <w:rPr>
          <w:spacing w:val="-4"/>
          <w:sz w:val="28"/>
        </w:rPr>
        <w:t xml:space="preserve">-BTC ngày </w:t>
      </w:r>
      <w:r>
        <w:rPr>
          <w:spacing w:val="-4"/>
          <w:sz w:val="28"/>
        </w:rPr>
        <w:t>06/11</w:t>
      </w:r>
      <w:r w:rsidRPr="007D7114">
        <w:rPr>
          <w:spacing w:val="-4"/>
          <w:sz w:val="28"/>
        </w:rPr>
        <w:t>/202</w:t>
      </w:r>
      <w:r>
        <w:rPr>
          <w:spacing w:val="-4"/>
          <w:sz w:val="28"/>
        </w:rPr>
        <w:t xml:space="preserve">4 </w:t>
      </w:r>
      <w:r w:rsidRPr="007D7114">
        <w:rPr>
          <w:spacing w:val="-4"/>
          <w:sz w:val="28"/>
        </w:rPr>
        <w:t>của Bộ Tài chính hướng dẫn chế độ công bố thông tin và báo cáo về chào bán, giao dịch trái phiếu doanh nghiệp riêng lẻ tại thị trường trong nước và chào bán trái phiếu doanh nghiệp ra thị trường quốc tế</w:t>
      </w:r>
      <w:r w:rsidRPr="007D7114">
        <w:rPr>
          <w:sz w:val="28"/>
        </w:rPr>
        <w:t xml:space="preserve">, (...tên Tổ chức đại diện người sở hữu trái phiếu...) báo cáo định kỳ về tình hình giám sát việc tuân thủ </w:t>
      </w:r>
      <w:r>
        <w:rPr>
          <w:sz w:val="28"/>
        </w:rPr>
        <w:t xml:space="preserve">quy định về công bố thông tin và </w:t>
      </w:r>
      <w:r w:rsidRPr="007D7114">
        <w:rPr>
          <w:sz w:val="28"/>
        </w:rPr>
        <w:t xml:space="preserve">các cam kết của doanh nghiệp phát hành trái phiếu </w:t>
      </w:r>
      <w:r>
        <w:rPr>
          <w:sz w:val="28"/>
        </w:rPr>
        <w:t xml:space="preserve">riêng lẻ </w:t>
      </w:r>
      <w:r w:rsidRPr="007D7114">
        <w:rPr>
          <w:sz w:val="28"/>
        </w:rPr>
        <w:t>như sau:</w:t>
      </w:r>
    </w:p>
    <w:p w:rsidR="00696213" w:rsidRPr="007D7114" w:rsidRDefault="00696213" w:rsidP="00696213">
      <w:pPr>
        <w:spacing w:before="120" w:after="120"/>
        <w:ind w:firstLine="720"/>
        <w:jc w:val="both"/>
        <w:rPr>
          <w:sz w:val="28"/>
        </w:rPr>
      </w:pPr>
      <w:r>
        <w:rPr>
          <w:sz w:val="28"/>
        </w:rPr>
        <w:t>1. T</w:t>
      </w:r>
      <w:r w:rsidRPr="007D7114">
        <w:rPr>
          <w:sz w:val="28"/>
        </w:rPr>
        <w:t xml:space="preserve">ình hình giám sát việc tuân thủ </w:t>
      </w:r>
      <w:r>
        <w:rPr>
          <w:sz w:val="28"/>
        </w:rPr>
        <w:t>quy định về công bố thông tin của doanh nghiệp phát hành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70"/>
        <w:gridCol w:w="1732"/>
        <w:gridCol w:w="2140"/>
        <w:gridCol w:w="1556"/>
        <w:gridCol w:w="1777"/>
      </w:tblGrid>
      <w:tr w:rsidR="00696213" w:rsidRPr="00FD364A" w:rsidTr="004D32BD">
        <w:tc>
          <w:tcPr>
            <w:tcW w:w="791" w:type="dxa"/>
            <w:vAlign w:val="center"/>
          </w:tcPr>
          <w:p w:rsidR="00696213" w:rsidRPr="009506A3" w:rsidRDefault="00696213" w:rsidP="004D32BD">
            <w:pPr>
              <w:spacing w:before="40" w:after="60" w:line="320" w:lineRule="exact"/>
              <w:jc w:val="center"/>
              <w:rPr>
                <w:b/>
                <w:sz w:val="22"/>
                <w:szCs w:val="22"/>
              </w:rPr>
            </w:pPr>
            <w:r w:rsidRPr="009506A3">
              <w:rPr>
                <w:b/>
                <w:sz w:val="22"/>
                <w:szCs w:val="22"/>
              </w:rPr>
              <w:t>STT</w:t>
            </w:r>
          </w:p>
        </w:tc>
        <w:tc>
          <w:tcPr>
            <w:tcW w:w="1270" w:type="dxa"/>
            <w:vAlign w:val="center"/>
          </w:tcPr>
          <w:p w:rsidR="00696213" w:rsidRPr="009506A3" w:rsidRDefault="00696213" w:rsidP="004D32BD">
            <w:pPr>
              <w:spacing w:before="40" w:after="60" w:line="320" w:lineRule="exact"/>
              <w:jc w:val="center"/>
              <w:rPr>
                <w:b/>
                <w:sz w:val="22"/>
                <w:szCs w:val="22"/>
              </w:rPr>
            </w:pPr>
            <w:r w:rsidRPr="009506A3">
              <w:rPr>
                <w:b/>
                <w:sz w:val="22"/>
                <w:szCs w:val="22"/>
              </w:rPr>
              <w:t>Mã trái phiếu</w:t>
            </w:r>
          </w:p>
        </w:tc>
        <w:tc>
          <w:tcPr>
            <w:tcW w:w="1732" w:type="dxa"/>
            <w:vAlign w:val="center"/>
          </w:tcPr>
          <w:p w:rsidR="00696213" w:rsidRPr="009506A3" w:rsidRDefault="00696213" w:rsidP="004D32BD">
            <w:pPr>
              <w:spacing w:before="40" w:after="60" w:line="320" w:lineRule="exact"/>
              <w:jc w:val="center"/>
              <w:rPr>
                <w:b/>
                <w:sz w:val="22"/>
                <w:szCs w:val="22"/>
              </w:rPr>
            </w:pPr>
            <w:r w:rsidRPr="009506A3">
              <w:rPr>
                <w:b/>
                <w:sz w:val="22"/>
                <w:szCs w:val="22"/>
              </w:rPr>
              <w:t>Tình hình thực hiện công bố thông tin định kỳ (tuân thủ/ không tuân thủ)</w:t>
            </w:r>
          </w:p>
        </w:tc>
        <w:tc>
          <w:tcPr>
            <w:tcW w:w="2140" w:type="dxa"/>
            <w:vAlign w:val="center"/>
          </w:tcPr>
          <w:p w:rsidR="00696213" w:rsidRPr="009506A3" w:rsidRDefault="00696213" w:rsidP="004D32BD">
            <w:pPr>
              <w:spacing w:before="40" w:after="60" w:line="320" w:lineRule="exact"/>
              <w:jc w:val="center"/>
              <w:rPr>
                <w:b/>
                <w:sz w:val="22"/>
                <w:szCs w:val="22"/>
              </w:rPr>
            </w:pPr>
            <w:r w:rsidRPr="009506A3">
              <w:rPr>
                <w:b/>
                <w:sz w:val="22"/>
                <w:szCs w:val="22"/>
              </w:rPr>
              <w:t>Tình hình thực hiện công bố thông tin về việc mua lại, hoán đổi, chuyển đổi, thực hiện quyền (nếu có) (tuân thủ/ không tuân thủ)</w:t>
            </w:r>
          </w:p>
        </w:tc>
        <w:tc>
          <w:tcPr>
            <w:tcW w:w="1556" w:type="dxa"/>
          </w:tcPr>
          <w:p w:rsidR="00696213" w:rsidRPr="009506A3" w:rsidRDefault="00696213" w:rsidP="004D32BD">
            <w:pPr>
              <w:spacing w:before="40" w:after="60" w:line="320" w:lineRule="exact"/>
              <w:jc w:val="center"/>
              <w:rPr>
                <w:b/>
                <w:sz w:val="22"/>
                <w:szCs w:val="22"/>
              </w:rPr>
            </w:pPr>
            <w:r w:rsidRPr="009506A3">
              <w:rPr>
                <w:b/>
                <w:sz w:val="22"/>
                <w:szCs w:val="22"/>
              </w:rPr>
              <w:t>Tình hình thực hiện công bố thông tin bất thường (tuân thủ/ không tuân thủ)</w:t>
            </w:r>
          </w:p>
        </w:tc>
        <w:tc>
          <w:tcPr>
            <w:tcW w:w="1777" w:type="dxa"/>
            <w:vAlign w:val="center"/>
          </w:tcPr>
          <w:p w:rsidR="00696213" w:rsidRPr="009506A3" w:rsidRDefault="00696213" w:rsidP="004D32BD">
            <w:pPr>
              <w:spacing w:before="40" w:after="60" w:line="320" w:lineRule="exact"/>
              <w:jc w:val="center"/>
              <w:rPr>
                <w:b/>
                <w:sz w:val="22"/>
                <w:szCs w:val="22"/>
              </w:rPr>
            </w:pPr>
            <w:r w:rsidRPr="009506A3">
              <w:rPr>
                <w:b/>
                <w:sz w:val="22"/>
                <w:szCs w:val="22"/>
              </w:rPr>
              <w:t>Tình hình thực hiện công bố thông tin khác (tuân thủ/ không tuân thủ)</w:t>
            </w:r>
          </w:p>
          <w:p w:rsidR="00696213" w:rsidRPr="009506A3" w:rsidRDefault="00696213" w:rsidP="004D32BD">
            <w:pPr>
              <w:spacing w:before="40" w:after="60" w:line="320" w:lineRule="exact"/>
              <w:jc w:val="center"/>
              <w:rPr>
                <w:b/>
                <w:sz w:val="22"/>
                <w:szCs w:val="22"/>
              </w:rPr>
            </w:pPr>
            <w:r w:rsidRPr="009506A3">
              <w:rPr>
                <w:b/>
                <w:sz w:val="22"/>
                <w:szCs w:val="22"/>
              </w:rPr>
              <w:t>(nếu có)</w:t>
            </w:r>
          </w:p>
        </w:tc>
      </w:tr>
      <w:tr w:rsidR="00696213" w:rsidRPr="00FD364A" w:rsidTr="004D32BD">
        <w:tc>
          <w:tcPr>
            <w:tcW w:w="791" w:type="dxa"/>
          </w:tcPr>
          <w:p w:rsidR="00696213" w:rsidRPr="009506A3" w:rsidRDefault="00696213" w:rsidP="004D32BD">
            <w:pPr>
              <w:spacing w:before="40" w:after="60" w:line="320" w:lineRule="exact"/>
              <w:jc w:val="center"/>
              <w:rPr>
                <w:sz w:val="22"/>
                <w:szCs w:val="22"/>
              </w:rPr>
            </w:pPr>
            <w:r w:rsidRPr="009506A3">
              <w:rPr>
                <w:sz w:val="22"/>
                <w:szCs w:val="22"/>
              </w:rPr>
              <w:t>1</w:t>
            </w:r>
          </w:p>
        </w:tc>
        <w:tc>
          <w:tcPr>
            <w:tcW w:w="1270" w:type="dxa"/>
          </w:tcPr>
          <w:p w:rsidR="00696213" w:rsidRPr="009506A3" w:rsidRDefault="00696213" w:rsidP="004D32BD">
            <w:pPr>
              <w:spacing w:before="40" w:after="60" w:line="320" w:lineRule="exact"/>
              <w:jc w:val="both"/>
              <w:rPr>
                <w:sz w:val="22"/>
                <w:szCs w:val="22"/>
              </w:rPr>
            </w:pPr>
          </w:p>
        </w:tc>
        <w:tc>
          <w:tcPr>
            <w:tcW w:w="1732" w:type="dxa"/>
          </w:tcPr>
          <w:p w:rsidR="00696213" w:rsidRPr="009506A3" w:rsidRDefault="00696213" w:rsidP="004D32BD">
            <w:pPr>
              <w:spacing w:before="40" w:after="60" w:line="320" w:lineRule="exact"/>
              <w:jc w:val="both"/>
              <w:rPr>
                <w:sz w:val="22"/>
                <w:szCs w:val="22"/>
              </w:rPr>
            </w:pPr>
          </w:p>
        </w:tc>
        <w:tc>
          <w:tcPr>
            <w:tcW w:w="2140" w:type="dxa"/>
          </w:tcPr>
          <w:p w:rsidR="00696213" w:rsidRPr="009506A3" w:rsidRDefault="00696213" w:rsidP="004D32BD">
            <w:pPr>
              <w:spacing w:before="40" w:after="60" w:line="320" w:lineRule="exact"/>
              <w:jc w:val="both"/>
              <w:rPr>
                <w:sz w:val="22"/>
                <w:szCs w:val="22"/>
              </w:rPr>
            </w:pPr>
          </w:p>
        </w:tc>
        <w:tc>
          <w:tcPr>
            <w:tcW w:w="1556" w:type="dxa"/>
          </w:tcPr>
          <w:p w:rsidR="00696213" w:rsidRPr="009506A3" w:rsidRDefault="00696213" w:rsidP="004D32BD">
            <w:pPr>
              <w:spacing w:before="40" w:after="60" w:line="320" w:lineRule="exact"/>
              <w:jc w:val="both"/>
              <w:rPr>
                <w:sz w:val="22"/>
                <w:szCs w:val="22"/>
              </w:rPr>
            </w:pPr>
          </w:p>
        </w:tc>
        <w:tc>
          <w:tcPr>
            <w:tcW w:w="1777" w:type="dxa"/>
          </w:tcPr>
          <w:p w:rsidR="00696213" w:rsidRPr="009506A3" w:rsidRDefault="00696213" w:rsidP="004D32BD">
            <w:pPr>
              <w:spacing w:before="40" w:after="60" w:line="320" w:lineRule="exact"/>
              <w:jc w:val="both"/>
              <w:rPr>
                <w:sz w:val="22"/>
                <w:szCs w:val="22"/>
              </w:rPr>
            </w:pPr>
          </w:p>
        </w:tc>
      </w:tr>
      <w:tr w:rsidR="00696213" w:rsidRPr="00FD364A" w:rsidTr="004D32BD">
        <w:tc>
          <w:tcPr>
            <w:tcW w:w="791" w:type="dxa"/>
          </w:tcPr>
          <w:p w:rsidR="00696213" w:rsidRPr="009506A3" w:rsidRDefault="00696213" w:rsidP="004D32BD">
            <w:pPr>
              <w:spacing w:before="40" w:after="60" w:line="320" w:lineRule="exact"/>
              <w:jc w:val="center"/>
              <w:rPr>
                <w:sz w:val="22"/>
                <w:szCs w:val="22"/>
              </w:rPr>
            </w:pPr>
            <w:r w:rsidRPr="009506A3">
              <w:rPr>
                <w:sz w:val="22"/>
                <w:szCs w:val="22"/>
              </w:rPr>
              <w:t>2</w:t>
            </w:r>
          </w:p>
        </w:tc>
        <w:tc>
          <w:tcPr>
            <w:tcW w:w="1270" w:type="dxa"/>
          </w:tcPr>
          <w:p w:rsidR="00696213" w:rsidRPr="009506A3" w:rsidRDefault="00696213" w:rsidP="004D32BD">
            <w:pPr>
              <w:spacing w:before="40" w:after="60" w:line="320" w:lineRule="exact"/>
              <w:jc w:val="both"/>
              <w:rPr>
                <w:sz w:val="22"/>
                <w:szCs w:val="22"/>
              </w:rPr>
            </w:pPr>
          </w:p>
        </w:tc>
        <w:tc>
          <w:tcPr>
            <w:tcW w:w="1732" w:type="dxa"/>
          </w:tcPr>
          <w:p w:rsidR="00696213" w:rsidRPr="009506A3" w:rsidRDefault="00696213" w:rsidP="004D32BD">
            <w:pPr>
              <w:spacing w:before="40" w:after="60" w:line="320" w:lineRule="exact"/>
              <w:jc w:val="both"/>
              <w:rPr>
                <w:sz w:val="22"/>
                <w:szCs w:val="22"/>
              </w:rPr>
            </w:pPr>
          </w:p>
        </w:tc>
        <w:tc>
          <w:tcPr>
            <w:tcW w:w="2140" w:type="dxa"/>
          </w:tcPr>
          <w:p w:rsidR="00696213" w:rsidRPr="009506A3" w:rsidRDefault="00696213" w:rsidP="004D32BD">
            <w:pPr>
              <w:spacing w:before="40" w:after="60" w:line="320" w:lineRule="exact"/>
              <w:jc w:val="both"/>
              <w:rPr>
                <w:sz w:val="22"/>
                <w:szCs w:val="22"/>
              </w:rPr>
            </w:pPr>
          </w:p>
        </w:tc>
        <w:tc>
          <w:tcPr>
            <w:tcW w:w="1556" w:type="dxa"/>
          </w:tcPr>
          <w:p w:rsidR="00696213" w:rsidRPr="009506A3" w:rsidRDefault="00696213" w:rsidP="004D32BD">
            <w:pPr>
              <w:spacing w:before="40" w:after="60" w:line="320" w:lineRule="exact"/>
              <w:jc w:val="both"/>
              <w:rPr>
                <w:sz w:val="22"/>
                <w:szCs w:val="22"/>
              </w:rPr>
            </w:pPr>
          </w:p>
        </w:tc>
        <w:tc>
          <w:tcPr>
            <w:tcW w:w="1777" w:type="dxa"/>
          </w:tcPr>
          <w:p w:rsidR="00696213" w:rsidRPr="009506A3" w:rsidRDefault="00696213" w:rsidP="004D32BD">
            <w:pPr>
              <w:spacing w:before="40" w:after="60" w:line="320" w:lineRule="exact"/>
              <w:jc w:val="both"/>
              <w:rPr>
                <w:sz w:val="22"/>
                <w:szCs w:val="22"/>
              </w:rPr>
            </w:pPr>
          </w:p>
        </w:tc>
      </w:tr>
    </w:tbl>
    <w:p w:rsidR="00696213" w:rsidRPr="00FA66E5" w:rsidRDefault="00696213" w:rsidP="00696213">
      <w:pPr>
        <w:spacing w:before="120" w:after="120"/>
        <w:ind w:firstLine="720"/>
        <w:jc w:val="both"/>
        <w:rPr>
          <w:i/>
          <w:sz w:val="28"/>
        </w:rPr>
      </w:pPr>
      <w:r>
        <w:rPr>
          <w:sz w:val="28"/>
        </w:rPr>
        <w:t>(</w:t>
      </w:r>
      <w:r>
        <w:rPr>
          <w:i/>
          <w:iCs/>
          <w:sz w:val="28"/>
        </w:rPr>
        <w:t>Tổ chức đại diện người sở hữu trái phiếu</w:t>
      </w:r>
      <w:r w:rsidRPr="00C70E96">
        <w:rPr>
          <w:i/>
          <w:iCs/>
          <w:sz w:val="28"/>
        </w:rPr>
        <w:t xml:space="preserve"> nêu cụ thể về việc </w:t>
      </w:r>
      <w:r>
        <w:rPr>
          <w:i/>
          <w:iCs/>
          <w:sz w:val="28"/>
        </w:rPr>
        <w:t xml:space="preserve">doanh nghiệp </w:t>
      </w:r>
      <w:r w:rsidRPr="00C70E96">
        <w:rPr>
          <w:i/>
          <w:iCs/>
          <w:sz w:val="28"/>
        </w:rPr>
        <w:t xml:space="preserve">tuân thủ, không tuân thủ các </w:t>
      </w:r>
      <w:r>
        <w:rPr>
          <w:i/>
          <w:iCs/>
          <w:sz w:val="28"/>
        </w:rPr>
        <w:t>quy định</w:t>
      </w:r>
      <w:r w:rsidRPr="00C70E96">
        <w:rPr>
          <w:i/>
          <w:iCs/>
          <w:sz w:val="28"/>
        </w:rPr>
        <w:t>. Trường hợp không tuân thủ, đề nghị thuyết minh chi tiết nội dung không tuân thủ</w:t>
      </w:r>
      <w:r>
        <w:rPr>
          <w:sz w:val="28"/>
        </w:rPr>
        <w:t>)</w:t>
      </w:r>
    </w:p>
    <w:p w:rsidR="00696213" w:rsidRDefault="00696213" w:rsidP="00696213">
      <w:pPr>
        <w:spacing w:before="120" w:after="120"/>
        <w:ind w:firstLine="720"/>
        <w:rPr>
          <w:bCs/>
          <w:sz w:val="28"/>
        </w:rPr>
      </w:pPr>
      <w:r>
        <w:rPr>
          <w:bCs/>
          <w:sz w:val="28"/>
        </w:rPr>
        <w:t>2. Tình hình giám sát việc tuân thủ các cam kết của doanh nghiệp phát hành</w:t>
      </w:r>
    </w:p>
    <w:tbl>
      <w:tblPr>
        <w:tblW w:w="5000" w:type="pct"/>
        <w:tblLook w:val="04A0" w:firstRow="1" w:lastRow="0" w:firstColumn="1" w:lastColumn="0" w:noHBand="0" w:noVBand="1"/>
      </w:tblPr>
      <w:tblGrid>
        <w:gridCol w:w="651"/>
        <w:gridCol w:w="877"/>
        <w:gridCol w:w="842"/>
        <w:gridCol w:w="1096"/>
        <w:gridCol w:w="2180"/>
        <w:gridCol w:w="1769"/>
        <w:gridCol w:w="1935"/>
      </w:tblGrid>
      <w:tr w:rsidR="00696213" w:rsidRPr="003E5199" w:rsidTr="004D32BD">
        <w:trPr>
          <w:trHeight w:val="1140"/>
          <w:tblHeader/>
        </w:trPr>
        <w:tc>
          <w:tcPr>
            <w:tcW w:w="348" w:type="pct"/>
            <w:tcBorders>
              <w:top w:val="single" w:sz="4" w:space="0" w:color="auto"/>
              <w:left w:val="single" w:sz="4" w:space="0" w:color="auto"/>
              <w:bottom w:val="single" w:sz="4" w:space="0" w:color="auto"/>
              <w:right w:val="single" w:sz="4" w:space="0" w:color="auto"/>
            </w:tcBorders>
            <w:vAlign w:val="center"/>
          </w:tcPr>
          <w:p w:rsidR="00696213" w:rsidRPr="003E5199" w:rsidRDefault="00696213" w:rsidP="004D32BD">
            <w:pPr>
              <w:spacing w:after="0"/>
              <w:jc w:val="center"/>
              <w:rPr>
                <w:b/>
                <w:bCs/>
                <w:color w:val="000000"/>
              </w:rPr>
            </w:pPr>
            <w:r w:rsidRPr="003E5199">
              <w:rPr>
                <w:b/>
                <w:bCs/>
                <w:color w:val="000000"/>
                <w:sz w:val="22"/>
                <w:szCs w:val="22"/>
              </w:rPr>
              <w:lastRenderedPageBreak/>
              <w:t>STT</w:t>
            </w:r>
          </w:p>
        </w:tc>
        <w:tc>
          <w:tcPr>
            <w:tcW w:w="469" w:type="pct"/>
            <w:tcBorders>
              <w:top w:val="single" w:sz="4" w:space="0" w:color="auto"/>
              <w:left w:val="nil"/>
              <w:bottom w:val="single" w:sz="4" w:space="0" w:color="auto"/>
              <w:right w:val="single" w:sz="4" w:space="0" w:color="auto"/>
            </w:tcBorders>
            <w:vAlign w:val="center"/>
          </w:tcPr>
          <w:p w:rsidR="00696213" w:rsidRPr="003E5199" w:rsidRDefault="00696213" w:rsidP="004D32BD">
            <w:pPr>
              <w:spacing w:after="0"/>
              <w:jc w:val="center"/>
              <w:rPr>
                <w:b/>
                <w:bCs/>
                <w:color w:val="000000"/>
              </w:rPr>
            </w:pPr>
            <w:r w:rsidRPr="003E5199">
              <w:rPr>
                <w:b/>
                <w:bCs/>
                <w:color w:val="000000"/>
                <w:sz w:val="22"/>
                <w:szCs w:val="22"/>
              </w:rPr>
              <w:t>Doanh nghiệp phát hành</w:t>
            </w:r>
          </w:p>
        </w:tc>
        <w:tc>
          <w:tcPr>
            <w:tcW w:w="450" w:type="pct"/>
            <w:tcBorders>
              <w:top w:val="single" w:sz="4" w:space="0" w:color="auto"/>
              <w:left w:val="nil"/>
              <w:bottom w:val="single" w:sz="4" w:space="0" w:color="auto"/>
              <w:right w:val="single" w:sz="4" w:space="0" w:color="auto"/>
            </w:tcBorders>
            <w:vAlign w:val="center"/>
          </w:tcPr>
          <w:p w:rsidR="00696213" w:rsidRPr="003E5199" w:rsidRDefault="00696213" w:rsidP="004D32BD">
            <w:pPr>
              <w:spacing w:after="0"/>
              <w:jc w:val="center"/>
              <w:rPr>
                <w:b/>
                <w:bCs/>
                <w:color w:val="000000"/>
              </w:rPr>
            </w:pPr>
            <w:r w:rsidRPr="003E5199">
              <w:rPr>
                <w:b/>
                <w:bCs/>
                <w:color w:val="000000"/>
                <w:sz w:val="22"/>
                <w:szCs w:val="22"/>
              </w:rPr>
              <w:t>Mã trái phiếu</w:t>
            </w:r>
          </w:p>
        </w:tc>
        <w:tc>
          <w:tcPr>
            <w:tcW w:w="586" w:type="pct"/>
            <w:tcBorders>
              <w:top w:val="single" w:sz="4" w:space="0" w:color="auto"/>
              <w:left w:val="nil"/>
              <w:bottom w:val="single" w:sz="4" w:space="0" w:color="auto"/>
              <w:right w:val="single" w:sz="4" w:space="0" w:color="auto"/>
            </w:tcBorders>
            <w:vAlign w:val="center"/>
          </w:tcPr>
          <w:p w:rsidR="00696213" w:rsidRPr="003E5199" w:rsidRDefault="00696213" w:rsidP="004D32BD">
            <w:pPr>
              <w:spacing w:after="0"/>
              <w:jc w:val="center"/>
              <w:rPr>
                <w:b/>
                <w:bCs/>
                <w:color w:val="000000"/>
              </w:rPr>
            </w:pPr>
            <w:r w:rsidRPr="003E5199">
              <w:rPr>
                <w:b/>
                <w:bCs/>
                <w:color w:val="000000"/>
                <w:sz w:val="22"/>
                <w:szCs w:val="22"/>
              </w:rPr>
              <w:t>Ngày phát hành</w:t>
            </w:r>
          </w:p>
        </w:tc>
        <w:tc>
          <w:tcPr>
            <w:tcW w:w="1166" w:type="pct"/>
            <w:tcBorders>
              <w:top w:val="single" w:sz="4" w:space="0" w:color="auto"/>
              <w:left w:val="nil"/>
              <w:bottom w:val="single" w:sz="4" w:space="0" w:color="auto"/>
              <w:right w:val="single" w:sz="4" w:space="0" w:color="auto"/>
            </w:tcBorders>
            <w:vAlign w:val="center"/>
          </w:tcPr>
          <w:p w:rsidR="00696213" w:rsidRPr="003E5199" w:rsidRDefault="00696213" w:rsidP="004D32BD">
            <w:pPr>
              <w:spacing w:after="0"/>
              <w:jc w:val="center"/>
              <w:rPr>
                <w:b/>
                <w:bCs/>
                <w:color w:val="000000"/>
              </w:rPr>
            </w:pPr>
            <w:r w:rsidRPr="003E5199">
              <w:rPr>
                <w:b/>
                <w:bCs/>
                <w:color w:val="000000"/>
                <w:sz w:val="22"/>
                <w:szCs w:val="22"/>
              </w:rPr>
              <w:t xml:space="preserve">Nội dung </w:t>
            </w:r>
          </w:p>
        </w:tc>
        <w:tc>
          <w:tcPr>
            <w:tcW w:w="946" w:type="pct"/>
            <w:tcBorders>
              <w:top w:val="single" w:sz="4" w:space="0" w:color="auto"/>
              <w:left w:val="nil"/>
              <w:bottom w:val="single" w:sz="4" w:space="0" w:color="auto"/>
              <w:right w:val="single" w:sz="4" w:space="0" w:color="auto"/>
            </w:tcBorders>
            <w:vAlign w:val="center"/>
          </w:tcPr>
          <w:p w:rsidR="00696213" w:rsidRPr="003E5199" w:rsidRDefault="00696213" w:rsidP="004D32BD">
            <w:pPr>
              <w:spacing w:after="0"/>
              <w:jc w:val="center"/>
              <w:rPr>
                <w:b/>
                <w:bCs/>
                <w:color w:val="000000"/>
              </w:rPr>
            </w:pPr>
            <w:r w:rsidRPr="003E5199">
              <w:rPr>
                <w:b/>
                <w:bCs/>
                <w:color w:val="000000"/>
                <w:sz w:val="22"/>
                <w:szCs w:val="22"/>
              </w:rPr>
              <w:t>Chi tiết nội dung</w:t>
            </w:r>
          </w:p>
        </w:tc>
        <w:tc>
          <w:tcPr>
            <w:tcW w:w="1036" w:type="pct"/>
            <w:tcBorders>
              <w:top w:val="single" w:sz="4" w:space="0" w:color="auto"/>
              <w:left w:val="nil"/>
              <w:bottom w:val="single" w:sz="4" w:space="0" w:color="auto"/>
              <w:right w:val="single" w:sz="4" w:space="0" w:color="auto"/>
            </w:tcBorders>
            <w:vAlign w:val="center"/>
          </w:tcPr>
          <w:p w:rsidR="00696213" w:rsidRPr="003E5199" w:rsidRDefault="00696213" w:rsidP="004D32BD">
            <w:pPr>
              <w:spacing w:after="0"/>
              <w:jc w:val="center"/>
              <w:rPr>
                <w:b/>
                <w:bCs/>
                <w:color w:val="000000"/>
              </w:rPr>
            </w:pPr>
            <w:r w:rsidRPr="003E5199">
              <w:rPr>
                <w:b/>
                <w:bCs/>
                <w:color w:val="000000"/>
                <w:sz w:val="22"/>
                <w:szCs w:val="22"/>
              </w:rPr>
              <w:t>Kết quả giám sát</w:t>
            </w:r>
          </w:p>
        </w:tc>
      </w:tr>
      <w:tr w:rsidR="00696213" w:rsidRPr="003E5199" w:rsidTr="004D32BD">
        <w:trPr>
          <w:trHeight w:val="300"/>
        </w:trPr>
        <w:tc>
          <w:tcPr>
            <w:tcW w:w="348"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1</w:t>
            </w:r>
          </w:p>
        </w:tc>
        <w:tc>
          <w:tcPr>
            <w:tcW w:w="469"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 </w:t>
            </w:r>
          </w:p>
        </w:tc>
        <w:tc>
          <w:tcPr>
            <w:tcW w:w="450"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 </w:t>
            </w:r>
          </w:p>
        </w:tc>
        <w:tc>
          <w:tcPr>
            <w:tcW w:w="586"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 </w:t>
            </w: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Mục đích phát hành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3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xml:space="preserve">Tài sản </w:t>
            </w:r>
            <w:r>
              <w:rPr>
                <w:color w:val="000000"/>
                <w:sz w:val="22"/>
                <w:szCs w:val="22"/>
              </w:rPr>
              <w:t>bảo đảm/bảo lãnh thanh toán</w:t>
            </w:r>
            <w:r w:rsidRPr="003E5199">
              <w:rPr>
                <w:color w:val="000000"/>
                <w:sz w:val="22"/>
                <w:szCs w:val="22"/>
              </w:rPr>
              <w:t xml:space="preserve">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Tình hình thanh toán lãi, gốc trái phiếu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Đủ/Chưa đủ; Đúng hạn/Chậm</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Pr>
                <w:color w:val="000000"/>
                <w:sz w:val="22"/>
                <w:szCs w:val="22"/>
              </w:rPr>
              <w:t>Cam kết mua lại trước hạn</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Pr>
                <w:color w:val="000000"/>
                <w:sz w:val="22"/>
                <w:szCs w:val="22"/>
              </w:rPr>
              <w:t>Cam kết về chuyển đổi trái phiếu</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Các cam kết khác của doanh nghiệp phát hành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300"/>
        </w:trPr>
        <w:tc>
          <w:tcPr>
            <w:tcW w:w="348"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2</w:t>
            </w:r>
          </w:p>
        </w:tc>
        <w:tc>
          <w:tcPr>
            <w:tcW w:w="469"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 </w:t>
            </w:r>
          </w:p>
        </w:tc>
        <w:tc>
          <w:tcPr>
            <w:tcW w:w="450"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 </w:t>
            </w:r>
          </w:p>
        </w:tc>
        <w:tc>
          <w:tcPr>
            <w:tcW w:w="586" w:type="pct"/>
            <w:vMerge w:val="restart"/>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jc w:val="center"/>
              <w:rPr>
                <w:color w:val="000000"/>
              </w:rPr>
            </w:pPr>
            <w:r w:rsidRPr="003E5199">
              <w:rPr>
                <w:color w:val="000000"/>
                <w:sz w:val="22"/>
                <w:szCs w:val="22"/>
              </w:rPr>
              <w:t> </w:t>
            </w: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Mục đích phát hành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3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xml:space="preserve">Tài sản </w:t>
            </w:r>
            <w:r>
              <w:rPr>
                <w:color w:val="000000"/>
                <w:sz w:val="22"/>
                <w:szCs w:val="22"/>
              </w:rPr>
              <w:t>bảo đảm</w:t>
            </w:r>
            <w:r w:rsidRPr="003E5199">
              <w:rPr>
                <w:color w:val="000000"/>
                <w:sz w:val="22"/>
                <w:szCs w:val="22"/>
              </w:rPr>
              <w:t xml:space="preserve">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Tình hình thanh toán lãi, gốc trái phiếu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Đủ/Chưa đủ; Đúng hạn/Chậm</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Pr>
                <w:color w:val="000000"/>
                <w:sz w:val="22"/>
                <w:szCs w:val="22"/>
              </w:rPr>
              <w:t>Cam kết mua lại trước hạn</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Pr>
                <w:color w:val="000000"/>
                <w:sz w:val="22"/>
                <w:szCs w:val="22"/>
              </w:rPr>
              <w:t>Cam kết về chuyển đổi trái phiếu</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r w:rsidR="00696213" w:rsidRPr="003E5199" w:rsidTr="004D32BD">
        <w:trPr>
          <w:trHeight w:val="600"/>
        </w:trPr>
        <w:tc>
          <w:tcPr>
            <w:tcW w:w="348"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69"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450"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586" w:type="pct"/>
            <w:vMerge/>
            <w:tcBorders>
              <w:top w:val="nil"/>
              <w:left w:val="single" w:sz="4" w:space="0" w:color="auto"/>
              <w:bottom w:val="single" w:sz="4" w:space="0" w:color="auto"/>
              <w:right w:val="single" w:sz="4" w:space="0" w:color="auto"/>
            </w:tcBorders>
            <w:vAlign w:val="center"/>
          </w:tcPr>
          <w:p w:rsidR="00696213" w:rsidRPr="003E5199" w:rsidRDefault="00696213" w:rsidP="004D32BD">
            <w:pPr>
              <w:spacing w:after="0"/>
              <w:rPr>
                <w:color w:val="000000"/>
              </w:rPr>
            </w:pPr>
          </w:p>
        </w:tc>
        <w:tc>
          <w:tcPr>
            <w:tcW w:w="116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Các cam kết khác của doanh nghiệp phát hành (Nêu cụ thể)</w:t>
            </w:r>
          </w:p>
        </w:tc>
        <w:tc>
          <w:tcPr>
            <w:tcW w:w="94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 </w:t>
            </w:r>
          </w:p>
        </w:tc>
        <w:tc>
          <w:tcPr>
            <w:tcW w:w="1036" w:type="pct"/>
            <w:tcBorders>
              <w:top w:val="nil"/>
              <w:left w:val="nil"/>
              <w:bottom w:val="single" w:sz="4" w:space="0" w:color="auto"/>
              <w:right w:val="single" w:sz="4" w:space="0" w:color="auto"/>
            </w:tcBorders>
            <w:vAlign w:val="center"/>
          </w:tcPr>
          <w:p w:rsidR="00696213" w:rsidRPr="003E5199" w:rsidRDefault="00696213" w:rsidP="004D32BD">
            <w:pPr>
              <w:spacing w:after="0"/>
              <w:rPr>
                <w:color w:val="000000"/>
              </w:rPr>
            </w:pPr>
            <w:r w:rsidRPr="003E5199">
              <w:rPr>
                <w:color w:val="000000"/>
                <w:sz w:val="22"/>
                <w:szCs w:val="22"/>
              </w:rPr>
              <w:t>Tuân thủ/Không tuân thủ</w:t>
            </w:r>
          </w:p>
        </w:tc>
      </w:tr>
    </w:tbl>
    <w:p w:rsidR="00696213" w:rsidRPr="0077773B" w:rsidRDefault="00696213" w:rsidP="00696213">
      <w:pPr>
        <w:spacing w:before="120" w:after="120"/>
        <w:ind w:firstLine="720"/>
        <w:jc w:val="both"/>
        <w:rPr>
          <w:bCs/>
          <w:i/>
          <w:sz w:val="28"/>
        </w:rPr>
      </w:pPr>
      <w:r w:rsidRPr="0077773B">
        <w:rPr>
          <w:bCs/>
          <w:i/>
          <w:sz w:val="28"/>
        </w:rPr>
        <w:t xml:space="preserve">*) Các cam kết khác của doanh nghiệp đề nghị nêu cụ thể các cam kết và đánh giá tính tuân thủ/không tuân thủ. </w:t>
      </w:r>
    </w:p>
    <w:p w:rsidR="00696213" w:rsidRPr="0077773B" w:rsidRDefault="00696213" w:rsidP="00696213">
      <w:pPr>
        <w:spacing w:before="120" w:after="120"/>
        <w:ind w:firstLine="720"/>
        <w:jc w:val="both"/>
        <w:rPr>
          <w:bCs/>
          <w:i/>
          <w:sz w:val="28"/>
        </w:rPr>
      </w:pPr>
      <w:r w:rsidRPr="0077773B">
        <w:rPr>
          <w:bCs/>
          <w:i/>
          <w:sz w:val="28"/>
        </w:rPr>
        <w:t xml:space="preserve">*) </w:t>
      </w:r>
      <w:r w:rsidRPr="0077773B">
        <w:rPr>
          <w:i/>
          <w:sz w:val="28"/>
        </w:rPr>
        <w:t xml:space="preserve">Lưu ý: Tổ chức lựa chọn Tuân thủ/không tuân thủ </w:t>
      </w:r>
    </w:p>
    <w:p w:rsidR="00696213" w:rsidRPr="007D7114" w:rsidRDefault="00696213" w:rsidP="00696213">
      <w:pPr>
        <w:spacing w:before="120" w:after="120"/>
        <w:ind w:firstLine="720"/>
        <w:jc w:val="both"/>
        <w:rPr>
          <w:bCs/>
          <w:sz w:val="28"/>
        </w:rPr>
      </w:pPr>
      <w:r>
        <w:rPr>
          <w:bCs/>
          <w:sz w:val="28"/>
        </w:rPr>
        <w:t>3</w:t>
      </w:r>
      <w:r w:rsidRPr="007D7114">
        <w:rPr>
          <w:bCs/>
          <w:sz w:val="28"/>
        </w:rPr>
        <w:t>. Tình hình thực hiện các trách nhiệm khác của đại diện chủ sở hữu trái phiếu</w:t>
      </w:r>
    </w:p>
    <w:p w:rsidR="00696213" w:rsidRPr="000A65AD" w:rsidRDefault="00696213" w:rsidP="00696213">
      <w:pPr>
        <w:widowControl w:val="0"/>
        <w:spacing w:before="120" w:after="120"/>
        <w:ind w:firstLine="720"/>
        <w:jc w:val="both"/>
        <w:rPr>
          <w:sz w:val="28"/>
          <w:szCs w:val="28"/>
        </w:rPr>
      </w:pPr>
      <w:r w:rsidRPr="00C455EB">
        <w:rPr>
          <w:iCs/>
          <w:sz w:val="28"/>
          <w:szCs w:val="28"/>
        </w:rPr>
        <w:t>Các nghiệp vụ phát sinh trong kỳ đối với các hợp đồng cung cấp dịch vụ đã ký kết và đang thực hiện</w:t>
      </w:r>
      <w:r>
        <w:rPr>
          <w:sz w:val="28"/>
          <w:szCs w:val="28"/>
        </w:rPr>
        <w:t xml:space="preserve"> bao gồm:…</w:t>
      </w:r>
    </w:p>
    <w:p w:rsidR="00696213" w:rsidRPr="007D7114" w:rsidRDefault="00696213" w:rsidP="00696213">
      <w:pPr>
        <w:spacing w:before="120" w:after="120"/>
        <w:ind w:firstLine="720"/>
        <w:jc w:val="both"/>
        <w:rPr>
          <w:bCs/>
          <w:sz w:val="28"/>
        </w:rPr>
      </w:pPr>
      <w:r w:rsidRPr="007D7114">
        <w:rPr>
          <w:bCs/>
          <w:sz w:val="28"/>
        </w:rPr>
        <w:t>- Làm trung gian liên lạc giữa người sở hữu trái phiếu, doanh nghiệp phát hành và các tổ chức có liên quan khác:</w:t>
      </w:r>
      <w:r>
        <w:rPr>
          <w:bCs/>
          <w:sz w:val="28"/>
        </w:rPr>
        <w:t>…</w:t>
      </w:r>
    </w:p>
    <w:p w:rsidR="00696213" w:rsidRPr="007D7114" w:rsidRDefault="00696213" w:rsidP="00696213">
      <w:pPr>
        <w:spacing w:before="120" w:after="120"/>
        <w:ind w:firstLine="720"/>
        <w:jc w:val="both"/>
        <w:rPr>
          <w:bCs/>
          <w:sz w:val="28"/>
        </w:rPr>
      </w:pPr>
      <w:r w:rsidRPr="007D7114">
        <w:rPr>
          <w:bCs/>
          <w:sz w:val="28"/>
        </w:rPr>
        <w:lastRenderedPageBreak/>
        <w:t>- Yêu cầu bên bảo lãnh thanh toán thực hiện nghĩa vụ bảo lãnh trong trường hợp doanh nghiệp phát hành không thực hiện hoặc thực hiện không đúng nghĩa vụ thanh toán gốc, lãi trái phiếu:</w:t>
      </w:r>
      <w:r>
        <w:rPr>
          <w:bCs/>
          <w:sz w:val="28"/>
        </w:rPr>
        <w:t>…</w:t>
      </w:r>
    </w:p>
    <w:p w:rsidR="00696213" w:rsidRDefault="00696213" w:rsidP="00696213">
      <w:pPr>
        <w:spacing w:before="120" w:after="120"/>
        <w:ind w:firstLine="720"/>
        <w:jc w:val="both"/>
        <w:rPr>
          <w:bCs/>
          <w:sz w:val="28"/>
        </w:rPr>
      </w:pPr>
      <w:r>
        <w:rPr>
          <w:bCs/>
          <w:sz w:val="28"/>
        </w:rPr>
        <w:t xml:space="preserve">- Tình hình </w:t>
      </w:r>
      <w:r w:rsidRPr="00752864">
        <w:rPr>
          <w:bCs/>
          <w:sz w:val="28"/>
        </w:rPr>
        <w:t>nhận và quản lý tài sản bảo đảm</w:t>
      </w:r>
      <w:r>
        <w:rPr>
          <w:bCs/>
          <w:sz w:val="28"/>
        </w:rPr>
        <w:t xml:space="preserve"> (nếu có):…</w:t>
      </w:r>
    </w:p>
    <w:p w:rsidR="00696213" w:rsidRPr="007D7114" w:rsidRDefault="00696213" w:rsidP="00696213">
      <w:pPr>
        <w:spacing w:before="120" w:after="120"/>
        <w:ind w:firstLine="720"/>
        <w:jc w:val="both"/>
        <w:rPr>
          <w:bCs/>
          <w:sz w:val="28"/>
        </w:rPr>
      </w:pPr>
      <w:r w:rsidRPr="007D7114">
        <w:rPr>
          <w:bCs/>
          <w:sz w:val="28"/>
        </w:rPr>
        <w:t xml:space="preserve">- Thực hiện các biện pháp xử lý tài sản bảo đảm trong trường hợp đại diện người sở hữu trái phiếu đồng thời là đại lý quản lý tài sản </w:t>
      </w:r>
      <w:r>
        <w:rPr>
          <w:bCs/>
          <w:sz w:val="28"/>
        </w:rPr>
        <w:t>bảo đảm</w:t>
      </w:r>
      <w:r w:rsidRPr="007D7114">
        <w:rPr>
          <w:bCs/>
          <w:sz w:val="28"/>
        </w:rPr>
        <w:t>:</w:t>
      </w:r>
      <w:r>
        <w:rPr>
          <w:bCs/>
          <w:sz w:val="28"/>
        </w:rPr>
        <w:t>…</w:t>
      </w:r>
    </w:p>
    <w:p w:rsidR="00696213" w:rsidRDefault="00696213" w:rsidP="00696213">
      <w:pPr>
        <w:widowControl w:val="0"/>
        <w:spacing w:before="120" w:after="120"/>
        <w:ind w:firstLine="720"/>
        <w:jc w:val="both"/>
        <w:rPr>
          <w:sz w:val="28"/>
          <w:szCs w:val="28"/>
        </w:rPr>
      </w:pPr>
      <w:r w:rsidRPr="007D7114">
        <w:rPr>
          <w:bCs/>
          <w:sz w:val="28"/>
        </w:rPr>
        <w:t xml:space="preserve">- </w:t>
      </w:r>
      <w:r w:rsidRPr="007D7114">
        <w:rPr>
          <w:sz w:val="28"/>
          <w:szCs w:val="28"/>
        </w:rPr>
        <w:t>Yêu cầu doanh nghiệp phát hành mua lại trái phiếu trước hạn theo nghị quyết của hội nghị người sở hữu trái phiếu trong trường hợp doanh nghiệp vi phạm pháp luật về phát hành trái phiếu doanh nghiệp, vi phạm phương án phát hành trái phiếu mà các vi phạm đó không thể khắc phục hoặc biện pháp khắc phục không được chủ sở hữu trái phiếu chấp thuận theo nghị quyết của hội nghị người sở hữu trái phiếu:</w:t>
      </w:r>
      <w:r>
        <w:rPr>
          <w:sz w:val="28"/>
          <w:szCs w:val="28"/>
        </w:rPr>
        <w:t>…</w:t>
      </w:r>
    </w:p>
    <w:p w:rsidR="00696213" w:rsidRDefault="00696213" w:rsidP="00696213">
      <w:pPr>
        <w:widowControl w:val="0"/>
        <w:spacing w:before="120" w:after="120"/>
        <w:ind w:firstLine="720"/>
        <w:jc w:val="both"/>
        <w:rPr>
          <w:sz w:val="28"/>
          <w:szCs w:val="28"/>
        </w:rPr>
      </w:pPr>
      <w:r>
        <w:rPr>
          <w:sz w:val="28"/>
          <w:szCs w:val="28"/>
        </w:rPr>
        <w:t xml:space="preserve">- </w:t>
      </w:r>
      <w:r w:rsidRPr="00BC3390">
        <w:rPr>
          <w:sz w:val="28"/>
          <w:szCs w:val="28"/>
        </w:rPr>
        <w:t>Báo cáo Ủy ban Chứng khoán Nhà nước trong trường hợp phát hiện tổ chức phát hành có hành vi vi phạm ảnh hưởng đến quyền lợi của người sở hữu trái phiếu</w:t>
      </w:r>
      <w:r>
        <w:rPr>
          <w:sz w:val="28"/>
          <w:szCs w:val="28"/>
        </w:rPr>
        <w:t>:...</w:t>
      </w:r>
    </w:p>
    <w:tbl>
      <w:tblPr>
        <w:tblW w:w="5000" w:type="pct"/>
        <w:tblLook w:val="04A0" w:firstRow="1" w:lastRow="0" w:firstColumn="1" w:lastColumn="0" w:noHBand="0" w:noVBand="1"/>
      </w:tblPr>
      <w:tblGrid>
        <w:gridCol w:w="4034"/>
        <w:gridCol w:w="5326"/>
      </w:tblGrid>
      <w:tr w:rsidR="00696213" w:rsidTr="004D32BD">
        <w:tc>
          <w:tcPr>
            <w:tcW w:w="2155" w:type="pct"/>
          </w:tcPr>
          <w:p w:rsidR="00696213" w:rsidRPr="009506A3" w:rsidRDefault="00696213" w:rsidP="004D32BD">
            <w:pPr>
              <w:spacing w:after="0"/>
              <w:jc w:val="center"/>
              <w:rPr>
                <w:b/>
                <w:sz w:val="26"/>
                <w:szCs w:val="26"/>
              </w:rPr>
            </w:pPr>
            <w:r w:rsidRPr="009506A3">
              <w:rPr>
                <w:b/>
                <w:sz w:val="26"/>
                <w:szCs w:val="26"/>
              </w:rPr>
              <w:t>NGƯỜI LẬP BÁO CÁO</w:t>
            </w:r>
          </w:p>
          <w:p w:rsidR="00696213" w:rsidRPr="009506A3" w:rsidRDefault="00696213" w:rsidP="004D32BD">
            <w:pPr>
              <w:spacing w:after="0"/>
              <w:jc w:val="center"/>
              <w:rPr>
                <w:i/>
                <w:sz w:val="28"/>
                <w:szCs w:val="28"/>
              </w:rPr>
            </w:pPr>
            <w:r w:rsidRPr="009506A3">
              <w:rPr>
                <w:i/>
                <w:sz w:val="28"/>
                <w:szCs w:val="28"/>
              </w:rPr>
              <w:t>(Ký, ghi rõ họ tên, chức danh)</w:t>
            </w:r>
          </w:p>
        </w:tc>
        <w:tc>
          <w:tcPr>
            <w:tcW w:w="2845" w:type="pct"/>
          </w:tcPr>
          <w:p w:rsidR="00696213" w:rsidRPr="009506A3" w:rsidRDefault="00696213" w:rsidP="004D32BD">
            <w:pPr>
              <w:widowControl w:val="0"/>
              <w:spacing w:after="0"/>
              <w:jc w:val="center"/>
              <w:rPr>
                <w:b/>
                <w:sz w:val="26"/>
                <w:szCs w:val="26"/>
              </w:rPr>
            </w:pPr>
            <w:r w:rsidRPr="009506A3">
              <w:rPr>
                <w:b/>
                <w:sz w:val="26"/>
                <w:szCs w:val="26"/>
              </w:rPr>
              <w:t>NGƯỜI ĐẠI DIỆN THEO PHÁP LUẬT</w:t>
            </w:r>
            <w:r w:rsidRPr="009506A3">
              <w:rPr>
                <w:b/>
                <w:sz w:val="26"/>
                <w:szCs w:val="26"/>
              </w:rPr>
              <w:br/>
              <w:t xml:space="preserve">HOẶC NGƯỜI ĐƯỢC ỦY QUYỀN </w:t>
            </w:r>
          </w:p>
          <w:p w:rsidR="00696213" w:rsidRPr="009506A3" w:rsidRDefault="00696213" w:rsidP="004D32BD">
            <w:pPr>
              <w:widowControl w:val="0"/>
              <w:spacing w:after="0"/>
              <w:jc w:val="center"/>
              <w:rPr>
                <w:i/>
                <w:sz w:val="28"/>
                <w:szCs w:val="22"/>
              </w:rPr>
            </w:pPr>
            <w:r w:rsidRPr="009506A3">
              <w:rPr>
                <w:i/>
                <w:sz w:val="28"/>
                <w:szCs w:val="22"/>
              </w:rPr>
              <w:t>(Ký, ghi rõ họ tên, đóng dấu)</w:t>
            </w:r>
          </w:p>
          <w:p w:rsidR="00696213" w:rsidRPr="009506A3" w:rsidRDefault="00696213" w:rsidP="004D32BD">
            <w:pPr>
              <w:spacing w:after="0"/>
              <w:jc w:val="center"/>
              <w:rPr>
                <w:b/>
                <w:sz w:val="28"/>
                <w:szCs w:val="28"/>
              </w:rPr>
            </w:pPr>
          </w:p>
        </w:tc>
      </w:tr>
    </w:tbl>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13"/>
    <w:rsid w:val="00283BBE"/>
    <w:rsid w:val="002E0EC3"/>
    <w:rsid w:val="00426F11"/>
    <w:rsid w:val="00696213"/>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A5D57-66B1-4CCA-BEF9-0769B3EA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13"/>
    <w:pPr>
      <w:spacing w:after="8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2024-11-29T14:19:00Z</dcterms:created>
  <dcterms:modified xsi:type="dcterms:W3CDTF">2024-11-29T14:20:00Z</dcterms:modified>
</cp:coreProperties>
</file>