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9D" w:rsidRPr="0082299D" w:rsidRDefault="0082299D" w:rsidP="0082299D">
      <w:pPr>
        <w:rPr>
          <w:rFonts w:ascii="Arial" w:eastAsia="Times New Roman" w:hAnsi="Arial" w:cs="Arial"/>
          <w:sz w:val="20"/>
          <w:szCs w:val="20"/>
          <w:lang w:val="en-US" w:eastAsia="en-US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299D" w:rsidRPr="0082299D" w:rsidTr="0082299D">
        <w:tc>
          <w:tcPr>
            <w:tcW w:w="4672" w:type="dxa"/>
          </w:tcPr>
          <w:p w:rsidR="0082299D" w:rsidRPr="0082299D" w:rsidRDefault="0082299D" w:rsidP="0082299D">
            <w:pPr>
              <w:pStyle w:val="Vnbnnidung0"/>
              <w:tabs>
                <w:tab w:val="left" w:pos="4534"/>
              </w:tabs>
              <w:spacing w:line="259" w:lineRule="auto"/>
              <w:ind w:left="1040"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29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TỔNG CỤC </w:t>
            </w:r>
            <w:r w:rsidRPr="0082299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82299D">
              <w:rPr>
                <w:rFonts w:ascii="Arial" w:hAnsi="Arial" w:cs="Arial"/>
                <w:b/>
                <w:color w:val="000000"/>
                <w:sz w:val="20"/>
                <w:szCs w:val="20"/>
              </w:rPr>
              <w:t>HUẾ</w:t>
            </w:r>
          </w:p>
          <w:p w:rsidR="0082299D" w:rsidRPr="0082299D" w:rsidRDefault="0082299D" w:rsidP="0082299D">
            <w:pPr>
              <w:pStyle w:val="Vnbnnidung0"/>
              <w:tabs>
                <w:tab w:val="left" w:pos="4534"/>
              </w:tabs>
              <w:spacing w:line="259" w:lineRule="auto"/>
              <w:ind w:left="1040" w:firstLine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2299D">
              <w:rPr>
                <w:rFonts w:ascii="Arial" w:hAnsi="Arial" w:cs="Arial"/>
                <w:b/>
                <w:color w:val="000000"/>
                <w:sz w:val="20"/>
                <w:szCs w:val="20"/>
              </w:rPr>
              <w:t>CỤC THUẾ TỈNH BÌNH ĐỊNH</w:t>
            </w:r>
          </w:p>
          <w:p w:rsidR="0082299D" w:rsidRPr="0082299D" w:rsidRDefault="0082299D" w:rsidP="0082299D">
            <w:pPr>
              <w:pStyle w:val="Vnbnnidung0"/>
              <w:tabs>
                <w:tab w:val="left" w:pos="4534"/>
              </w:tabs>
              <w:spacing w:line="259" w:lineRule="auto"/>
              <w:ind w:left="104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 xml:space="preserve">Số: </w:t>
            </w: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>3642</w:t>
            </w: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>/CTB</w:t>
            </w: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Pr="0082299D">
              <w:rPr>
                <w:rFonts w:ascii="Arial" w:hAnsi="Arial" w:cs="Arial"/>
                <w:sz w:val="20"/>
                <w:szCs w:val="20"/>
              </w:rPr>
              <w:t>–</w:t>
            </w: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 xml:space="preserve"> TTHT</w:t>
            </w:r>
          </w:p>
          <w:p w:rsidR="0082299D" w:rsidRPr="0082299D" w:rsidRDefault="0082299D" w:rsidP="0082299D">
            <w:pPr>
              <w:pStyle w:val="Vnbnnidung0"/>
              <w:tabs>
                <w:tab w:val="left" w:pos="4534"/>
              </w:tabs>
              <w:spacing w:line="259" w:lineRule="auto"/>
              <w:ind w:left="10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>V/v: đính chính trả lời chính sách thuế đối với tiền lãi gửi tiết kiệm.</w:t>
            </w:r>
          </w:p>
        </w:tc>
        <w:tc>
          <w:tcPr>
            <w:tcW w:w="4673" w:type="dxa"/>
          </w:tcPr>
          <w:p w:rsidR="0082299D" w:rsidRPr="0082299D" w:rsidRDefault="0082299D" w:rsidP="008229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99D">
              <w:rPr>
                <w:rFonts w:ascii="Arial" w:hAnsi="Arial" w:cs="Arial"/>
                <w:b/>
                <w:bCs/>
                <w:sz w:val="20"/>
                <w:szCs w:val="20"/>
              </w:rPr>
              <w:t>CỘNG HOÀ XÃ HỘI CHỦ NGHĨA VIỆT NAM</w:t>
            </w:r>
            <w:r w:rsidRPr="0082299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  <w:r w:rsidRPr="0082299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2299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__________________________</w:t>
            </w:r>
          </w:p>
          <w:p w:rsidR="0082299D" w:rsidRPr="0082299D" w:rsidRDefault="0082299D" w:rsidP="0082299D">
            <w:pP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 w:rsidRPr="0082299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Bình Định</w:t>
            </w:r>
            <w:r w:rsidRPr="0082299D">
              <w:rPr>
                <w:rFonts w:ascii="Arial" w:hAnsi="Arial" w:cs="Arial"/>
                <w:i/>
                <w:iCs/>
                <w:sz w:val="20"/>
                <w:szCs w:val="20"/>
              </w:rPr>
              <w:t>, ngày 0</w:t>
            </w:r>
            <w:r w:rsidRPr="0082299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7</w:t>
            </w:r>
            <w:r w:rsidRPr="008229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tháng </w:t>
            </w:r>
            <w:r w:rsidRPr="0082299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10</w:t>
            </w:r>
            <w:r w:rsidRPr="0082299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năm 20</w:t>
            </w:r>
            <w:r w:rsidRPr="0082299D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24</w:t>
            </w:r>
          </w:p>
        </w:tc>
      </w:tr>
    </w:tbl>
    <w:p w:rsidR="0082299D" w:rsidRPr="0082299D" w:rsidRDefault="0082299D" w:rsidP="0082299D">
      <w:pPr>
        <w:rPr>
          <w:rFonts w:ascii="Arial" w:eastAsia="Times New Roman" w:hAnsi="Arial" w:cs="Arial"/>
          <w:sz w:val="20"/>
          <w:szCs w:val="20"/>
          <w:lang w:val="en-US" w:eastAsia="en-US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299D" w:rsidRPr="0082299D" w:rsidTr="0082299D">
        <w:tc>
          <w:tcPr>
            <w:tcW w:w="4672" w:type="dxa"/>
          </w:tcPr>
          <w:p w:rsidR="0082299D" w:rsidRPr="0082299D" w:rsidRDefault="0082299D" w:rsidP="0082299D">
            <w:pPr>
              <w:pStyle w:val="Vnbnnidung0"/>
              <w:tabs>
                <w:tab w:val="left" w:pos="4534"/>
              </w:tabs>
              <w:spacing w:line="259" w:lineRule="auto"/>
              <w:ind w:left="1040" w:firstLin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>KÍnh gửi:</w:t>
            </w:r>
          </w:p>
          <w:p w:rsidR="0082299D" w:rsidRPr="0082299D" w:rsidRDefault="0082299D" w:rsidP="00B22048">
            <w:pPr>
              <w:pStyle w:val="Vnbnnidung0"/>
              <w:tabs>
                <w:tab w:val="left" w:pos="4534"/>
              </w:tabs>
              <w:spacing w:line="259" w:lineRule="auto"/>
              <w:ind w:left="10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:rsidR="0082299D" w:rsidRPr="0082299D" w:rsidRDefault="0082299D" w:rsidP="0082299D">
            <w:pPr>
              <w:pStyle w:val="Vnbnnidung0"/>
              <w:spacing w:after="0"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>Công ty TNHH</w:t>
            </w: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 xml:space="preserve"> Đức Hả</w:t>
            </w:r>
            <w:r w:rsidRPr="0082299D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</w:p>
          <w:p w:rsidR="0082299D" w:rsidRPr="0082299D" w:rsidRDefault="0082299D" w:rsidP="0082299D">
            <w:pP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 w:rsidRPr="0082299D">
              <w:rPr>
                <w:rFonts w:ascii="Arial" w:hAnsi="Arial" w:cs="Arial"/>
                <w:sz w:val="20"/>
                <w:szCs w:val="20"/>
              </w:rPr>
              <w:t>(Địa chi: L</w:t>
            </w:r>
            <w:r w:rsidRPr="0082299D">
              <w:rPr>
                <w:rFonts w:ascii="Arial" w:hAnsi="Arial" w:cs="Arial"/>
                <w:sz w:val="20"/>
                <w:szCs w:val="20"/>
                <w:lang w:val="en-US"/>
              </w:rPr>
              <w:t>ô</w:t>
            </w:r>
            <w:r w:rsidRPr="0082299D">
              <w:rPr>
                <w:rFonts w:ascii="Arial" w:hAnsi="Arial" w:cs="Arial"/>
                <w:sz w:val="20"/>
                <w:szCs w:val="20"/>
              </w:rPr>
              <w:t xml:space="preserve"> AS, KCN Phú Tài, TP. Ọuy Nh</w:t>
            </w:r>
            <w:r w:rsidRPr="0082299D">
              <w:rPr>
                <w:rFonts w:ascii="Arial" w:hAnsi="Arial" w:cs="Arial"/>
                <w:sz w:val="20"/>
                <w:szCs w:val="20"/>
                <w:lang w:val="en-US"/>
              </w:rPr>
              <w:t xml:space="preserve">ơn, </w:t>
            </w:r>
            <w:r w:rsidRPr="0082299D">
              <w:rPr>
                <w:rFonts w:ascii="Arial" w:hAnsi="Arial" w:cs="Arial"/>
                <w:sz w:val="20"/>
                <w:szCs w:val="20"/>
              </w:rPr>
              <w:t xml:space="preserve"> Binh Định)</w:t>
            </w:r>
          </w:p>
        </w:tc>
      </w:tr>
    </w:tbl>
    <w:p w:rsidR="0082299D" w:rsidRPr="0082299D" w:rsidRDefault="0082299D" w:rsidP="0082299D">
      <w:pPr>
        <w:rPr>
          <w:rFonts w:ascii="Arial" w:eastAsia="Times New Roman" w:hAnsi="Arial" w:cs="Arial"/>
          <w:sz w:val="20"/>
          <w:szCs w:val="20"/>
          <w:lang w:val="en-US" w:eastAsia="en-US" w:bidi="ar-SA"/>
        </w:rPr>
      </w:pP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Cục Thuế tỉnh Bình Định có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Công văn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trả lời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số 3332 ngày 13/9/2024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trả lời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Công văn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ỏ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01/2024/CV-ĐH ngày 20/8/2024 c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ủ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a Công ty TNHH Đức 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ả</w:t>
      </w:r>
      <w:r w:rsidR="000C6183">
        <w:rPr>
          <w:rFonts w:ascii="Arial" w:eastAsia="Times New Roman" w:hAnsi="Arial" w:cs="Arial"/>
          <w:sz w:val="20"/>
          <w:szCs w:val="20"/>
          <w:lang w:val="en-US" w:eastAsia="en-US" w:bidi="ar-SA"/>
        </w:rPr>
        <w:t>i “</w:t>
      </w:r>
      <w:bookmarkStart w:id="0" w:name="_GoBack"/>
      <w:bookmarkEnd w:id="0"/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V/v 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ỏ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về xuất hóa dơn tiền lãi g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ửi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tiết kiệm".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Nay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Cục Thuế tỉnh Bì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nh Định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đính chính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nội dung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trả lời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như sau: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1. V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ề xuất hóa đơn GTGT đố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với kho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ản tiền gử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tại ngân hàng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- Căn cứ khoả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n 1 Điều 4 Nghị định số 123/2020/NĐ-CP ng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à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y 19/10/2020 c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ủ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a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Chính phủ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quy định về thời nguyên tắc lập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, quả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n lý, s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ử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dụng hóa đơn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,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chứng từ: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-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C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ă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n cứ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khoản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1 Điều 5 Thông tư hợp nhất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số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21/V8HN-BTC ngày 30/12/2021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của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Bộ Tài chính quy định v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ề trường hợ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p không ph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kê khai tính nộp th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ự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c GTGT;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-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Căn cứ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C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ô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ng v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ă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n s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ố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4085/TCT-DNT ngày 11/9/2017 c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ủ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a T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ổ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ng cục Thuế V/v hướng dẫn ch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ính sách thuế.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Căn cứ các quy định nêu trên, l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tiền g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ử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ngân hàng được xác định là kho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n thu tài ch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í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nh khác, khi nhận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khoản l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ãi tiền g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ử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ngân hàng dơn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vị được viết phiếu thu, không phả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xuất hóa đơn.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2. V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ề ph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â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n b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ổ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Thuế GTGT đầu vào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Căn cứ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khoản 2 Điề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u 14 Th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ô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ng tư hợp nhất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số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21 quy định về phân b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ổ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thuế giá trị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gia tăng đầu vào được khấu trừ</w:t>
      </w:r>
    </w:p>
    <w:p w:rsidR="0082299D" w:rsidRPr="0082299D" w:rsidRDefault="0082299D" w:rsidP="0082299D">
      <w:pPr>
        <w:spacing w:after="120"/>
        <w:ind w:firstLine="284"/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Trường hợp Công ty có phát sinh l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tiền g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ử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ng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â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n hàng được xác định là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khoản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thu tài chính khác. C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ông ty không phả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phân b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ổ thuế đầ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u vào được khấu trừ đ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ố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với hoạt động g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ử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tiền tại Ngân hàng.</w:t>
      </w:r>
    </w:p>
    <w:p w:rsidR="0082299D" w:rsidRPr="0082299D" w:rsidRDefault="0082299D" w:rsidP="0082299D">
      <w:pPr>
        <w:rPr>
          <w:rFonts w:ascii="Arial" w:eastAsia="Times New Roman" w:hAnsi="Arial" w:cs="Arial"/>
          <w:sz w:val="20"/>
          <w:szCs w:val="20"/>
          <w:lang w:val="en-US" w:eastAsia="en-US" w:bidi="ar-SA"/>
        </w:rPr>
      </w:pP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Cục Thuế tỉ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nh Bình Định 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trả lời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Công ty TNHH Đức H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ả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>i biết v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à</w:t>
      </w:r>
      <w:r w:rsidRPr="0082299D">
        <w:rPr>
          <w:rFonts w:ascii="Arial" w:eastAsia="Times New Roman" w:hAnsi="Arial" w:cs="Arial"/>
          <w:sz w:val="20"/>
          <w:szCs w:val="20"/>
          <w:lang w:val="en-US" w:eastAsia="en-US" w:bidi="ar-SA"/>
        </w:rPr>
        <w:t xml:space="preserve"> thực hiện./</w:t>
      </w:r>
      <w:r>
        <w:rPr>
          <w:rFonts w:ascii="Arial" w:eastAsia="Times New Roman" w:hAnsi="Arial" w:cs="Arial"/>
          <w:sz w:val="20"/>
          <w:szCs w:val="20"/>
          <w:lang w:val="en-US" w:eastAsia="en-US" w:bidi="ar-S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2299D" w:rsidRPr="0082299D" w:rsidTr="0082299D">
        <w:tc>
          <w:tcPr>
            <w:tcW w:w="4672" w:type="dxa"/>
          </w:tcPr>
          <w:p w:rsidR="0082299D" w:rsidRPr="0082299D" w:rsidRDefault="0082299D" w:rsidP="00B22048">
            <w:pP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>Nơi nhận:</w:t>
            </w:r>
          </w:p>
          <w:p w:rsidR="0082299D" w:rsidRPr="0082299D" w:rsidRDefault="0082299D" w:rsidP="00B22048">
            <w:pP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>- Như trên;</w:t>
            </w:r>
          </w:p>
          <w:p w:rsidR="0082299D" w:rsidRPr="0082299D" w:rsidRDefault="0082299D" w:rsidP="00B22048">
            <w:pP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 xml:space="preserve">-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>Phòng TTKT2, NVDTPC</w:t>
            </w: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>;</w:t>
            </w:r>
          </w:p>
          <w:p w:rsidR="0082299D" w:rsidRPr="0082299D" w:rsidRDefault="0082299D" w:rsidP="00B22048">
            <w:pP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 xml:space="preserve">- Website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>Cục Thuế Bình Định</w:t>
            </w: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>;</w:t>
            </w:r>
          </w:p>
          <w:p w:rsidR="0082299D" w:rsidRPr="0082299D" w:rsidRDefault="0082299D" w:rsidP="0082299D">
            <w:pP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 xml:space="preserve">- Lưu: VT,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>TTHT</w:t>
            </w:r>
            <w:r w:rsidRPr="0082299D"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  <w:t xml:space="preserve"> (2b).</w:t>
            </w:r>
          </w:p>
        </w:tc>
        <w:tc>
          <w:tcPr>
            <w:tcW w:w="4673" w:type="dxa"/>
          </w:tcPr>
          <w:p w:rsidR="0082299D" w:rsidRPr="0082299D" w:rsidRDefault="0082299D" w:rsidP="00B22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KT.</w:t>
            </w:r>
            <w:r w:rsidRPr="0082299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CỤC</w:t>
            </w:r>
            <w:proofErr w:type="gramEnd"/>
            <w:r w:rsidRPr="008229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TRƯỞNG</w:t>
            </w:r>
          </w:p>
          <w:p w:rsidR="0082299D" w:rsidRPr="0082299D" w:rsidRDefault="0082299D" w:rsidP="00B22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2299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PHÓ VỤ TRƯỞNG</w:t>
            </w:r>
          </w:p>
          <w:p w:rsidR="0082299D" w:rsidRPr="0082299D" w:rsidRDefault="0082299D" w:rsidP="00B22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2299D" w:rsidRPr="0082299D" w:rsidRDefault="0082299D" w:rsidP="00B22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2299D" w:rsidRPr="0082299D" w:rsidRDefault="0082299D" w:rsidP="00B220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82299D" w:rsidRPr="0082299D" w:rsidRDefault="0082299D" w:rsidP="00B220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Trần Hữu Danh</w:t>
            </w:r>
          </w:p>
        </w:tc>
      </w:tr>
    </w:tbl>
    <w:p w:rsidR="0082299D" w:rsidRPr="0082299D" w:rsidRDefault="0082299D" w:rsidP="0082299D">
      <w:pPr>
        <w:rPr>
          <w:rFonts w:ascii="Arial" w:eastAsia="Times New Roman" w:hAnsi="Arial" w:cs="Arial"/>
          <w:sz w:val="20"/>
          <w:szCs w:val="20"/>
          <w:lang w:val="en-US" w:eastAsia="en-US" w:bidi="ar-SA"/>
        </w:rPr>
      </w:pPr>
    </w:p>
    <w:p w:rsidR="0082299D" w:rsidRPr="0082299D" w:rsidRDefault="0082299D" w:rsidP="0082299D">
      <w:pPr>
        <w:rPr>
          <w:rFonts w:ascii="Arial" w:eastAsia="Times New Roman" w:hAnsi="Arial" w:cs="Arial"/>
          <w:sz w:val="20"/>
          <w:szCs w:val="20"/>
          <w:lang w:val="en-US" w:eastAsia="en-US" w:bidi="ar-SA"/>
        </w:rPr>
      </w:pPr>
    </w:p>
    <w:p w:rsidR="0082299D" w:rsidRPr="0082299D" w:rsidRDefault="0082299D" w:rsidP="0082299D">
      <w:pPr>
        <w:rPr>
          <w:rFonts w:ascii="Arial" w:hAnsi="Arial" w:cs="Arial"/>
          <w:sz w:val="20"/>
          <w:szCs w:val="20"/>
        </w:rPr>
      </w:pPr>
    </w:p>
    <w:p w:rsidR="00B67918" w:rsidRPr="0082299D" w:rsidRDefault="00B67918">
      <w:pPr>
        <w:rPr>
          <w:rFonts w:ascii="Arial" w:hAnsi="Arial" w:cs="Arial"/>
          <w:sz w:val="20"/>
          <w:szCs w:val="20"/>
        </w:rPr>
      </w:pPr>
    </w:p>
    <w:sectPr w:rsidR="00B67918" w:rsidRPr="0082299D" w:rsidSect="00CE173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9D"/>
    <w:rsid w:val="00094344"/>
    <w:rsid w:val="000C6183"/>
    <w:rsid w:val="00170AC5"/>
    <w:rsid w:val="002303AB"/>
    <w:rsid w:val="00255A29"/>
    <w:rsid w:val="003F0296"/>
    <w:rsid w:val="00524465"/>
    <w:rsid w:val="00530F3B"/>
    <w:rsid w:val="0082299D"/>
    <w:rsid w:val="00986072"/>
    <w:rsid w:val="00B67918"/>
    <w:rsid w:val="00CE173D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69B2E"/>
  <w15:chartTrackingRefBased/>
  <w15:docId w15:val="{FB2A8173-F68A-4693-9EE1-E44CCB66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29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2299D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82299D"/>
    <w:pPr>
      <w:spacing w:after="80"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rsid w:val="0082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2024-10-07T09:53:00Z</dcterms:created>
  <dcterms:modified xsi:type="dcterms:W3CDTF">2024-10-07T10:12:00Z</dcterms:modified>
</cp:coreProperties>
</file>