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E2" w:rsidRPr="00F7024D" w:rsidRDefault="00EF66E2" w:rsidP="00EF66E2">
      <w:pPr>
        <w:spacing w:before="120"/>
        <w:jc w:val="center"/>
        <w:rPr>
          <w:rFonts w:ascii="Arial" w:hAnsi="Arial" w:cs="Arial"/>
          <w:b/>
          <w:color w:val="auto"/>
          <w:szCs w:val="20"/>
          <w:lang w:val="en-US"/>
        </w:rPr>
      </w:pPr>
      <w:r>
        <w:rPr>
          <w:rFonts w:ascii="Arial" w:hAnsi="Arial" w:cs="Arial"/>
          <w:b/>
          <w:color w:val="auto"/>
          <w:szCs w:val="20"/>
          <w:lang w:val="en-US"/>
        </w:rPr>
        <w:t>PHỤ LỤC 1</w:t>
      </w:r>
    </w:p>
    <w:p w:rsidR="00EF66E2" w:rsidRPr="00F7024D" w:rsidRDefault="00EF66E2" w:rsidP="00EF66E2">
      <w:pPr>
        <w:spacing w:before="120"/>
        <w:jc w:val="center"/>
        <w:rPr>
          <w:rFonts w:ascii="Arial" w:hAnsi="Arial" w:cs="Arial"/>
          <w:b/>
          <w:color w:val="auto"/>
          <w:sz w:val="20"/>
          <w:szCs w:val="20"/>
          <w:lang w:val="en-US"/>
        </w:rPr>
      </w:pPr>
      <w:r w:rsidRPr="00F7024D">
        <w:rPr>
          <w:rFonts w:ascii="Arial" w:hAnsi="Arial" w:cs="Arial"/>
          <w:b/>
          <w:color w:val="auto"/>
          <w:sz w:val="20"/>
          <w:szCs w:val="20"/>
          <w:lang w:val="en-US"/>
        </w:rPr>
        <w:t>BẢNG 7</w:t>
      </w:r>
    </w:p>
    <w:p w:rsidR="00EF66E2" w:rsidRPr="00F7024D" w:rsidRDefault="00EF66E2" w:rsidP="00EF66E2">
      <w:pPr>
        <w:spacing w:before="120"/>
        <w:jc w:val="center"/>
        <w:rPr>
          <w:rFonts w:ascii="Arial" w:hAnsi="Arial" w:cs="Arial"/>
          <w:i/>
          <w:color w:val="auto"/>
          <w:sz w:val="20"/>
          <w:szCs w:val="20"/>
          <w:lang w:val="en-US"/>
        </w:rPr>
      </w:pPr>
      <w:r w:rsidRPr="00F7024D">
        <w:rPr>
          <w:rFonts w:ascii="Arial" w:hAnsi="Arial" w:cs="Arial"/>
          <w:color w:val="auto"/>
          <w:sz w:val="20"/>
          <w:szCs w:val="20"/>
          <w:lang w:val="en-US"/>
        </w:rPr>
        <w:t>ÁP DỤNG CHO CÁC TRƯỜNG HỢP KHÁC</w:t>
      </w:r>
      <w:r w:rsidRPr="00F7024D">
        <w:rPr>
          <w:rFonts w:ascii="Arial" w:hAnsi="Arial" w:cs="Arial"/>
          <w:color w:val="auto"/>
          <w:sz w:val="20"/>
          <w:szCs w:val="20"/>
          <w:lang w:val="en-US"/>
        </w:rPr>
        <w:br/>
      </w:r>
      <w:r w:rsidRPr="00F7024D">
        <w:rPr>
          <w:rFonts w:ascii="Arial" w:hAnsi="Arial" w:cs="Arial"/>
          <w:i/>
          <w:color w:val="auto"/>
          <w:sz w:val="20"/>
          <w:szCs w:val="20"/>
          <w:lang w:val="en-US"/>
        </w:rPr>
        <w:t>(Đính kèm Quyết định số 79/2024/QĐ-UBND ngày 21 tháng 10 năm 2024 của Ủy ban nhân dân Thành phố)</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1. </w:t>
      </w:r>
      <w:r w:rsidRPr="00F7024D">
        <w:rPr>
          <w:rFonts w:ascii="Arial" w:hAnsi="Arial" w:cs="Arial"/>
          <w:color w:val="auto"/>
          <w:sz w:val="20"/>
          <w:szCs w:val="20"/>
        </w:rPr>
        <w:t>Việc xác định vị trí mặt tiền đường: Khu đất, thửa đất có vị trí mặt tiền đường phải có ít nhất một mặt giáp với lề đường (đường có tên trong Bảng giá đất ở). Việc xác định vị trí căn cứ vào thực tế, không phụ thuộc vào số thửa, địa chỉ của khu đất, thửa đất.</w:t>
      </w:r>
    </w:p>
    <w:p w:rsidR="00EF66E2" w:rsidRPr="00F7024D" w:rsidRDefault="00EF66E2" w:rsidP="00EF66E2">
      <w:pPr>
        <w:spacing w:before="120"/>
        <w:rPr>
          <w:rFonts w:ascii="Arial" w:hAnsi="Arial" w:cs="Arial"/>
          <w:b/>
          <w:color w:val="auto"/>
          <w:sz w:val="20"/>
          <w:szCs w:val="20"/>
        </w:rPr>
      </w:pPr>
      <w:r w:rsidRPr="00F7024D">
        <w:rPr>
          <w:rFonts w:ascii="Arial" w:hAnsi="Arial" w:cs="Arial"/>
          <w:color w:val="auto"/>
          <w:sz w:val="20"/>
          <w:szCs w:val="20"/>
          <w:lang w:val="en-US"/>
        </w:rPr>
        <w:t xml:space="preserve">2. </w:t>
      </w:r>
      <w:r w:rsidRPr="00F7024D">
        <w:rPr>
          <w:rFonts w:ascii="Arial" w:hAnsi="Arial" w:cs="Arial"/>
          <w:color w:val="auto"/>
          <w:sz w:val="20"/>
          <w:szCs w:val="20"/>
        </w:rPr>
        <w:t>Đối với trường hợp khu đất, thửa đất nằm vị trí không mặt tiền đường th</w:t>
      </w:r>
      <w:r w:rsidRPr="00F7024D">
        <w:rPr>
          <w:rFonts w:ascii="Arial" w:hAnsi="Arial" w:cs="Arial"/>
          <w:color w:val="auto"/>
          <w:sz w:val="20"/>
          <w:szCs w:val="20"/>
          <w:lang w:val="en-US"/>
        </w:rPr>
        <w:t>ì</w:t>
      </w:r>
      <w:r w:rsidRPr="00F7024D">
        <w:rPr>
          <w:rFonts w:ascii="Arial" w:hAnsi="Arial" w:cs="Arial"/>
          <w:color w:val="auto"/>
          <w:sz w:val="20"/>
          <w:szCs w:val="20"/>
        </w:rPr>
        <w:t xml:space="preserve"> có địa chỉ đường nào thì áp dụng đơn giá đất của đường đó, trừ các trường hợp nêu tại mục </w:t>
      </w:r>
      <w:r w:rsidRPr="00F7024D">
        <w:rPr>
          <w:rFonts w:ascii="Arial" w:hAnsi="Arial" w:cs="Arial"/>
          <w:color w:val="auto"/>
          <w:sz w:val="20"/>
          <w:szCs w:val="20"/>
          <w:lang w:val="en-US"/>
        </w:rPr>
        <w:t>6</w:t>
      </w:r>
      <w:r w:rsidRPr="00F7024D">
        <w:rPr>
          <w:rFonts w:ascii="Arial" w:hAnsi="Arial" w:cs="Arial"/>
          <w:color w:val="auto"/>
          <w:sz w:val="20"/>
          <w:szCs w:val="20"/>
        </w:rPr>
        <w:t xml:space="preserve">.3, </w:t>
      </w:r>
      <w:r w:rsidRPr="00F7024D">
        <w:rPr>
          <w:rFonts w:ascii="Arial" w:hAnsi="Arial" w:cs="Arial"/>
          <w:color w:val="auto"/>
          <w:sz w:val="20"/>
          <w:szCs w:val="20"/>
          <w:lang w:val="en-US"/>
        </w:rPr>
        <w:t>6</w:t>
      </w:r>
      <w:r w:rsidRPr="00F7024D">
        <w:rPr>
          <w:rFonts w:ascii="Arial" w:hAnsi="Arial" w:cs="Arial"/>
          <w:color w:val="auto"/>
          <w:sz w:val="20"/>
          <w:szCs w:val="20"/>
        </w:rPr>
        <w:t>.4.</w:t>
      </w:r>
    </w:p>
    <w:p w:rsidR="00EF66E2" w:rsidRPr="00F7024D" w:rsidRDefault="00EF66E2" w:rsidP="00EF66E2">
      <w:pPr>
        <w:spacing w:before="120"/>
        <w:rPr>
          <w:rFonts w:ascii="Arial" w:hAnsi="Arial" w:cs="Arial"/>
          <w:bCs/>
          <w:color w:val="auto"/>
          <w:sz w:val="20"/>
          <w:szCs w:val="20"/>
          <w:lang w:val="en-US"/>
        </w:rPr>
      </w:pPr>
      <w:r w:rsidRPr="00F7024D">
        <w:rPr>
          <w:rFonts w:ascii="Arial" w:hAnsi="Arial" w:cs="Arial"/>
          <w:bCs/>
          <w:color w:val="auto"/>
          <w:sz w:val="20"/>
          <w:szCs w:val="20"/>
          <w:lang w:val="en-US"/>
        </w:rPr>
        <w:t>3. Việc xác định vị trí các thửa đất, khu đất không mặt tiền: dựa vào chiều rộng nhỏ nhất của hẻm mà muốn vào vị trí đất đó phải đi qua (hình 1).</w:t>
      </w:r>
    </w:p>
    <w:p w:rsidR="00EF66E2" w:rsidRPr="00F7024D" w:rsidRDefault="00EF66E2" w:rsidP="00EF66E2">
      <w:pPr>
        <w:spacing w:before="120"/>
        <w:rPr>
          <w:rFonts w:ascii="Arial" w:hAnsi="Arial" w:cs="Arial"/>
          <w:bCs/>
          <w:color w:val="auto"/>
          <w:sz w:val="20"/>
          <w:szCs w:val="20"/>
          <w:lang w:val="en-US"/>
        </w:rPr>
      </w:pPr>
      <w:r w:rsidRPr="00F7024D">
        <w:rPr>
          <w:rFonts w:ascii="Arial" w:hAnsi="Arial" w:cs="Arial"/>
          <w:bCs/>
          <w:color w:val="auto"/>
          <w:sz w:val="20"/>
          <w:szCs w:val="20"/>
          <w:lang w:val="en-US"/>
        </w:rPr>
        <w:t>4. Độ sâu của các vị trí không mặt tiền đường là khoảng cách di chuyển (đường bộ) từ mép trong của lề đường có tên trong bảng giá đất đến thửa đất khu đất (hình 2); các tính chiều dài là lấy từ tim đường các hẻm đi vào.</w:t>
      </w:r>
    </w:p>
    <w:p w:rsidR="00EF66E2" w:rsidRPr="00F7024D" w:rsidRDefault="00EF66E2" w:rsidP="00EF66E2">
      <w:pPr>
        <w:spacing w:before="120"/>
        <w:rPr>
          <w:rFonts w:ascii="Arial" w:hAnsi="Arial" w:cs="Arial"/>
          <w:bCs/>
          <w:color w:val="auto"/>
          <w:sz w:val="20"/>
          <w:szCs w:val="20"/>
          <w:lang w:val="en-US"/>
        </w:rPr>
      </w:pPr>
      <w:r w:rsidRPr="00F7024D">
        <w:rPr>
          <w:rFonts w:ascii="Arial" w:hAnsi="Arial" w:cs="Arial"/>
          <w:bCs/>
          <w:color w:val="auto"/>
          <w:sz w:val="20"/>
          <w:szCs w:val="20"/>
          <w:lang w:val="en-US"/>
        </w:rPr>
        <w:t>5. Hẻm đất tính bằng 0,8 hẻm trải đá, trải nhựa hoặc bê tông, xi măng.</w:t>
      </w:r>
    </w:p>
    <w:p w:rsidR="00EF66E2" w:rsidRPr="00F7024D" w:rsidRDefault="00EF66E2" w:rsidP="00EF66E2">
      <w:pPr>
        <w:spacing w:before="120"/>
        <w:rPr>
          <w:rFonts w:ascii="Arial" w:hAnsi="Arial" w:cs="Arial"/>
          <w:b/>
          <w:color w:val="auto"/>
          <w:sz w:val="20"/>
          <w:szCs w:val="20"/>
          <w:lang w:val="en-US"/>
        </w:rPr>
      </w:pPr>
      <w:r w:rsidRPr="00F7024D">
        <w:rPr>
          <w:rFonts w:ascii="Arial" w:hAnsi="Arial" w:cs="Arial"/>
          <w:b/>
          <w:color w:val="auto"/>
          <w:sz w:val="20"/>
          <w:szCs w:val="20"/>
        </w:rPr>
        <w:t>H</w:t>
      </w:r>
      <w:r w:rsidRPr="00F7024D">
        <w:rPr>
          <w:rFonts w:ascii="Arial" w:hAnsi="Arial" w:cs="Arial"/>
          <w:b/>
          <w:color w:val="auto"/>
          <w:sz w:val="20"/>
          <w:szCs w:val="20"/>
          <w:lang w:val="en-US"/>
        </w:rPr>
        <w:t>ì</w:t>
      </w:r>
      <w:r w:rsidRPr="00F7024D">
        <w:rPr>
          <w:rFonts w:ascii="Arial" w:hAnsi="Arial" w:cs="Arial"/>
          <w:b/>
          <w:color w:val="auto"/>
          <w:sz w:val="20"/>
          <w:szCs w:val="20"/>
        </w:rPr>
        <w:t>nh 1: Xác đ</w:t>
      </w:r>
      <w:r w:rsidRPr="00F7024D">
        <w:rPr>
          <w:rFonts w:ascii="Arial" w:hAnsi="Arial" w:cs="Arial"/>
          <w:b/>
          <w:color w:val="auto"/>
          <w:sz w:val="20"/>
          <w:szCs w:val="20"/>
          <w:lang w:val="en-US"/>
        </w:rPr>
        <w:t>ị</w:t>
      </w:r>
      <w:r w:rsidRPr="00F7024D">
        <w:rPr>
          <w:rFonts w:ascii="Arial" w:hAnsi="Arial" w:cs="Arial"/>
          <w:b/>
          <w:color w:val="auto"/>
          <w:sz w:val="20"/>
          <w:szCs w:val="20"/>
        </w:rPr>
        <w:t>nh các v</w:t>
      </w:r>
      <w:r w:rsidRPr="00F7024D">
        <w:rPr>
          <w:rFonts w:ascii="Arial" w:hAnsi="Arial" w:cs="Arial"/>
          <w:b/>
          <w:color w:val="auto"/>
          <w:sz w:val="20"/>
          <w:szCs w:val="20"/>
          <w:lang w:val="en-US"/>
        </w:rPr>
        <w:t>ị</w:t>
      </w:r>
      <w:r w:rsidRPr="00F7024D">
        <w:rPr>
          <w:rFonts w:ascii="Arial" w:hAnsi="Arial" w:cs="Arial"/>
          <w:b/>
          <w:color w:val="auto"/>
          <w:sz w:val="20"/>
          <w:szCs w:val="20"/>
        </w:rPr>
        <w:t xml:space="preserve"> trí</w:t>
      </w:r>
    </w:p>
    <w:p w:rsidR="00EF66E2" w:rsidRPr="00F7024D" w:rsidRDefault="00EF66E2" w:rsidP="00EF66E2">
      <w:pPr>
        <w:spacing w:before="120"/>
        <w:jc w:val="center"/>
        <w:rPr>
          <w:rFonts w:ascii="Arial" w:hAnsi="Arial" w:cs="Arial"/>
          <w:color w:val="auto"/>
          <w:sz w:val="20"/>
          <w:szCs w:val="20"/>
          <w:lang w:val="en-US"/>
        </w:rPr>
      </w:pPr>
      <w:r>
        <w:rPr>
          <w:rFonts w:ascii="Arial" w:hAnsi="Arial" w:cs="Arial"/>
          <w:noProof/>
          <w:color w:val="auto"/>
          <w:sz w:val="20"/>
          <w:szCs w:val="20"/>
          <w:lang w:val="en-US" w:eastAsia="en-US"/>
        </w:rPr>
        <w:drawing>
          <wp:inline distT="0" distB="0" distL="0" distR="0">
            <wp:extent cx="5476875" cy="3886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76875" cy="3886200"/>
                    </a:xfrm>
                    <a:prstGeom prst="rect">
                      <a:avLst/>
                    </a:prstGeom>
                    <a:noFill/>
                    <a:ln>
                      <a:noFill/>
                    </a:ln>
                  </pic:spPr>
                </pic:pic>
              </a:graphicData>
            </a:graphic>
          </wp:inline>
        </w:drawing>
      </w:r>
    </w:p>
    <w:p w:rsidR="00EF66E2" w:rsidRPr="00F7024D" w:rsidRDefault="00EF66E2" w:rsidP="00EF66E2">
      <w:pPr>
        <w:spacing w:before="120"/>
        <w:rPr>
          <w:rFonts w:ascii="Arial" w:hAnsi="Arial" w:cs="Arial"/>
          <w:b/>
          <w:color w:val="auto"/>
          <w:sz w:val="20"/>
          <w:szCs w:val="20"/>
          <w:lang w:val="en-US"/>
        </w:rPr>
      </w:pPr>
      <w:r w:rsidRPr="00F7024D">
        <w:rPr>
          <w:rFonts w:ascii="Arial" w:hAnsi="Arial" w:cs="Arial"/>
          <w:b/>
          <w:color w:val="auto"/>
          <w:sz w:val="20"/>
          <w:szCs w:val="20"/>
          <w:lang w:val="en-US"/>
        </w:rPr>
        <w:t>Hình 2: Trường hợp cách lề đường từ 100 m trở lên</w:t>
      </w:r>
    </w:p>
    <w:p w:rsidR="00EF66E2" w:rsidRPr="00F7024D" w:rsidRDefault="00EF66E2" w:rsidP="00EF66E2">
      <w:pPr>
        <w:spacing w:before="120"/>
        <w:rPr>
          <w:rFonts w:ascii="Arial" w:hAnsi="Arial" w:cs="Arial"/>
          <w:color w:val="auto"/>
          <w:sz w:val="20"/>
          <w:szCs w:val="20"/>
          <w:lang w:val="en-US"/>
        </w:rPr>
      </w:pPr>
      <w:r>
        <w:rPr>
          <w:rFonts w:ascii="Arial" w:hAnsi="Arial" w:cs="Arial"/>
          <w:noProof/>
          <w:color w:val="auto"/>
          <w:sz w:val="20"/>
          <w:szCs w:val="20"/>
          <w:lang w:val="en-US" w:eastAsia="en-US"/>
        </w:rPr>
        <w:lastRenderedPageBreak/>
        <w:drawing>
          <wp:inline distT="0" distB="0" distL="0" distR="0">
            <wp:extent cx="3600450" cy="314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3143250"/>
                    </a:xfrm>
                    <a:prstGeom prst="rect">
                      <a:avLst/>
                    </a:prstGeom>
                    <a:noFill/>
                    <a:ln>
                      <a:noFill/>
                    </a:ln>
                  </pic:spPr>
                </pic:pic>
              </a:graphicData>
            </a:graphic>
          </wp:inline>
        </w:drawing>
      </w:r>
    </w:p>
    <w:p w:rsidR="00EF66E2" w:rsidRPr="00F7024D" w:rsidRDefault="00EF66E2" w:rsidP="00EF66E2">
      <w:pPr>
        <w:spacing w:before="120"/>
        <w:rPr>
          <w:rFonts w:ascii="Arial" w:hAnsi="Arial" w:cs="Arial"/>
          <w:b/>
          <w:bCs/>
          <w:color w:val="auto"/>
          <w:sz w:val="20"/>
          <w:szCs w:val="20"/>
        </w:rPr>
      </w:pPr>
      <w:r w:rsidRPr="00F7024D">
        <w:rPr>
          <w:rFonts w:ascii="Arial" w:hAnsi="Arial" w:cs="Arial"/>
          <w:color w:val="auto"/>
          <w:sz w:val="20"/>
          <w:szCs w:val="20"/>
          <w:lang w:val="en-US"/>
        </w:rPr>
        <w:t xml:space="preserve">6. </w:t>
      </w:r>
      <w:r w:rsidRPr="00F7024D">
        <w:rPr>
          <w:rFonts w:ascii="Arial" w:hAnsi="Arial" w:cs="Arial"/>
          <w:b/>
          <w:bCs/>
          <w:color w:val="auto"/>
          <w:sz w:val="20"/>
          <w:szCs w:val="20"/>
        </w:rPr>
        <w:t xml:space="preserve">Một </w:t>
      </w:r>
      <w:r w:rsidRPr="00F7024D">
        <w:rPr>
          <w:rFonts w:ascii="Arial" w:hAnsi="Arial" w:cs="Arial"/>
          <w:b/>
          <w:bCs/>
          <w:color w:val="auto"/>
          <w:sz w:val="20"/>
          <w:szCs w:val="20"/>
          <w:lang w:val="en-US"/>
        </w:rPr>
        <w:t>s</w:t>
      </w:r>
      <w:r w:rsidRPr="00F7024D">
        <w:rPr>
          <w:rFonts w:ascii="Arial" w:hAnsi="Arial" w:cs="Arial"/>
          <w:b/>
          <w:bCs/>
          <w:color w:val="auto"/>
          <w:sz w:val="20"/>
          <w:szCs w:val="20"/>
        </w:rPr>
        <w:t>ố trường hợp đặc biệt:</w:t>
      </w:r>
    </w:p>
    <w:p w:rsidR="00EF66E2" w:rsidRPr="00F7024D" w:rsidRDefault="00EF66E2" w:rsidP="00EF66E2">
      <w:pPr>
        <w:spacing w:before="120"/>
        <w:rPr>
          <w:rFonts w:ascii="Arial" w:hAnsi="Arial" w:cs="Arial"/>
          <w:color w:val="auto"/>
          <w:sz w:val="20"/>
          <w:szCs w:val="20"/>
          <w:lang w:val="en-US"/>
        </w:rPr>
      </w:pPr>
      <w:r w:rsidRPr="00F7024D">
        <w:rPr>
          <w:rFonts w:ascii="Arial" w:hAnsi="Arial" w:cs="Arial"/>
          <w:color w:val="auto"/>
          <w:sz w:val="20"/>
          <w:szCs w:val="20"/>
          <w:lang w:val="en-US"/>
        </w:rPr>
        <w:t xml:space="preserve">6.1. </w:t>
      </w:r>
      <w:r w:rsidRPr="00F7024D">
        <w:rPr>
          <w:rFonts w:ascii="Arial" w:hAnsi="Arial" w:cs="Arial"/>
          <w:color w:val="auto"/>
          <w:sz w:val="20"/>
          <w:szCs w:val="20"/>
        </w:rPr>
        <w:t>Các trường hợp khu đất, thửa đất có hình thể đặc biệt (</w:t>
      </w:r>
      <w:r w:rsidRPr="00F7024D">
        <w:rPr>
          <w:rFonts w:ascii="Arial" w:hAnsi="Arial" w:cs="Arial"/>
          <w:color w:val="auto"/>
          <w:sz w:val="20"/>
          <w:szCs w:val="20"/>
          <w:lang w:val="en-US"/>
        </w:rPr>
        <w:t>á</w:t>
      </w:r>
      <w:r w:rsidRPr="00F7024D">
        <w:rPr>
          <w:rFonts w:ascii="Arial" w:hAnsi="Arial" w:cs="Arial"/>
          <w:color w:val="auto"/>
          <w:sz w:val="20"/>
          <w:szCs w:val="20"/>
        </w:rPr>
        <w:t>p dụng cho tất cả các vị trí)</w:t>
      </w:r>
      <w:r w:rsidRPr="00F7024D">
        <w:rPr>
          <w:rFonts w:ascii="Arial" w:hAnsi="Arial" w:cs="Arial"/>
          <w:color w:val="auto"/>
          <w:sz w:val="20"/>
          <w:szCs w:val="20"/>
          <w:lang w:val="en-US"/>
        </w:rPr>
        <w:t>:</w:t>
      </w:r>
    </w:p>
    <w:p w:rsidR="00EF66E2" w:rsidRPr="00F7024D" w:rsidRDefault="00EF66E2" w:rsidP="00EF66E2">
      <w:pPr>
        <w:spacing w:before="120"/>
        <w:rPr>
          <w:rFonts w:ascii="Arial" w:hAnsi="Arial" w:cs="Arial"/>
          <w:color w:val="auto"/>
          <w:sz w:val="20"/>
          <w:szCs w:val="20"/>
        </w:rPr>
      </w:pPr>
      <w:r w:rsidRPr="00F7024D">
        <w:rPr>
          <w:rFonts w:ascii="Arial" w:hAnsi="Arial" w:cs="Arial"/>
          <w:bCs/>
          <w:color w:val="auto"/>
          <w:sz w:val="20"/>
          <w:szCs w:val="20"/>
          <w:lang w:val="en-US"/>
        </w:rPr>
        <w:t>6.1.1.</w:t>
      </w:r>
      <w:r w:rsidRPr="00F7024D">
        <w:rPr>
          <w:rFonts w:ascii="Arial" w:hAnsi="Arial" w:cs="Arial"/>
          <w:color w:val="auto"/>
          <w:sz w:val="20"/>
          <w:szCs w:val="20"/>
          <w:lang w:val="en-US"/>
        </w:rPr>
        <w:t xml:space="preserve"> </w:t>
      </w:r>
      <w:r w:rsidRPr="00F7024D">
        <w:rPr>
          <w:rFonts w:ascii="Arial" w:hAnsi="Arial" w:cs="Arial"/>
          <w:bCs/>
          <w:color w:val="auto"/>
          <w:sz w:val="20"/>
          <w:szCs w:val="20"/>
        </w:rPr>
        <w:t>Trường</w:t>
      </w:r>
      <w:r w:rsidRPr="00F7024D">
        <w:rPr>
          <w:rFonts w:ascii="Arial" w:hAnsi="Arial" w:cs="Arial"/>
          <w:bCs/>
          <w:color w:val="auto"/>
          <w:sz w:val="20"/>
          <w:szCs w:val="20"/>
          <w:lang w:val="en-US"/>
        </w:rPr>
        <w:t xml:space="preserve"> </w:t>
      </w:r>
      <w:r w:rsidRPr="00F7024D">
        <w:rPr>
          <w:rFonts w:ascii="Arial" w:hAnsi="Arial" w:cs="Arial"/>
          <w:bCs/>
          <w:color w:val="auto"/>
          <w:sz w:val="20"/>
          <w:szCs w:val="20"/>
        </w:rPr>
        <w:t>hợp 1</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rPr>
        <w:t xml:space="preserve">Khu đất, thửa đất hoặc nhà đất vừa có mặt tiền đường </w:t>
      </w:r>
      <w:r w:rsidRPr="00F7024D">
        <w:rPr>
          <w:rFonts w:ascii="Arial" w:hAnsi="Arial" w:cs="Arial"/>
          <w:color w:val="auto"/>
          <w:sz w:val="20"/>
          <w:szCs w:val="20"/>
          <w:lang w:val="en-US"/>
        </w:rPr>
        <w:t xml:space="preserve">(hẻm) </w:t>
      </w:r>
      <w:r w:rsidRPr="00F7024D">
        <w:rPr>
          <w:rFonts w:ascii="Arial" w:hAnsi="Arial" w:cs="Arial"/>
          <w:color w:val="auto"/>
          <w:sz w:val="20"/>
          <w:szCs w:val="20"/>
        </w:rPr>
        <w:t xml:space="preserve">vừa không có mặt tiền đường </w:t>
      </w:r>
      <w:r w:rsidRPr="00F7024D">
        <w:rPr>
          <w:rFonts w:ascii="Arial" w:hAnsi="Arial" w:cs="Arial"/>
          <w:color w:val="auto"/>
          <w:sz w:val="20"/>
          <w:szCs w:val="20"/>
          <w:lang w:val="en-US"/>
        </w:rPr>
        <w:t xml:space="preserve">(hẻm) </w:t>
      </w:r>
      <w:r w:rsidRPr="00F7024D">
        <w:rPr>
          <w:rFonts w:ascii="Arial" w:hAnsi="Arial" w:cs="Arial"/>
          <w:color w:val="auto"/>
          <w:sz w:val="20"/>
          <w:szCs w:val="20"/>
        </w:rPr>
        <w:t>th</w:t>
      </w:r>
      <w:r w:rsidRPr="00F7024D">
        <w:rPr>
          <w:rFonts w:ascii="Arial" w:hAnsi="Arial" w:cs="Arial"/>
          <w:color w:val="auto"/>
          <w:sz w:val="20"/>
          <w:szCs w:val="20"/>
          <w:lang w:val="en-US"/>
        </w:rPr>
        <w:t>ì</w:t>
      </w:r>
      <w:r w:rsidRPr="00F7024D">
        <w:rPr>
          <w:rFonts w:ascii="Arial" w:hAnsi="Arial" w:cs="Arial"/>
          <w:color w:val="auto"/>
          <w:sz w:val="20"/>
          <w:szCs w:val="20"/>
        </w:rPr>
        <w:t xml:space="preserve"> phần diện tích không có mặt tiền đường</w:t>
      </w:r>
      <w:r w:rsidRPr="00F7024D">
        <w:rPr>
          <w:rFonts w:ascii="Arial" w:hAnsi="Arial" w:cs="Arial"/>
          <w:color w:val="auto"/>
          <w:sz w:val="20"/>
          <w:szCs w:val="20"/>
          <w:lang w:val="en-US"/>
        </w:rPr>
        <w:t xml:space="preserve"> (hẻm)</w:t>
      </w:r>
      <w:r w:rsidRPr="00F7024D">
        <w:rPr>
          <w:rFonts w:ascii="Arial" w:hAnsi="Arial" w:cs="Arial"/>
          <w:color w:val="auto"/>
          <w:sz w:val="20"/>
          <w:szCs w:val="20"/>
        </w:rPr>
        <w:t xml:space="preserve"> có đơn giá đất được tính bằng</w:t>
      </w:r>
      <w:r w:rsidRPr="00F7024D">
        <w:rPr>
          <w:rFonts w:ascii="Arial" w:hAnsi="Arial" w:cs="Arial"/>
          <w:color w:val="auto"/>
          <w:sz w:val="20"/>
          <w:szCs w:val="20"/>
          <w:lang w:val="en-US"/>
        </w:rPr>
        <w:t xml:space="preserve"> 0,</w:t>
      </w:r>
      <w:r w:rsidRPr="00F7024D">
        <w:rPr>
          <w:rFonts w:ascii="Arial" w:hAnsi="Arial" w:cs="Arial"/>
          <w:color w:val="auto"/>
          <w:sz w:val="20"/>
          <w:szCs w:val="20"/>
        </w:rPr>
        <w:t xml:space="preserve">8 lần so với đơn giá đất mặt tiền đường </w:t>
      </w:r>
      <w:r w:rsidRPr="00F7024D">
        <w:rPr>
          <w:rFonts w:ascii="Arial" w:hAnsi="Arial" w:cs="Arial"/>
          <w:color w:val="auto"/>
          <w:sz w:val="20"/>
          <w:szCs w:val="20"/>
          <w:lang w:val="en-US"/>
        </w:rPr>
        <w:t xml:space="preserve">(hẻm) </w:t>
      </w:r>
      <w:r w:rsidRPr="00F7024D">
        <w:rPr>
          <w:rFonts w:ascii="Arial" w:hAnsi="Arial" w:cs="Arial"/>
          <w:color w:val="auto"/>
          <w:sz w:val="20"/>
          <w:szCs w:val="20"/>
        </w:rPr>
        <w:t>(hình 3). Tuy nhiên chỉ áp dụng khi phần diện tích không mặt tiền đường</w:t>
      </w:r>
      <w:r w:rsidRPr="00F7024D">
        <w:rPr>
          <w:rFonts w:ascii="Arial" w:hAnsi="Arial" w:cs="Arial"/>
          <w:color w:val="auto"/>
          <w:sz w:val="20"/>
          <w:szCs w:val="20"/>
          <w:lang w:val="en-US"/>
        </w:rPr>
        <w:t xml:space="preserve"> (hẻm)</w:t>
      </w:r>
      <w:r w:rsidRPr="00F7024D">
        <w:rPr>
          <w:rFonts w:ascii="Arial" w:hAnsi="Arial" w:cs="Arial"/>
          <w:color w:val="auto"/>
          <w:sz w:val="20"/>
          <w:szCs w:val="20"/>
        </w:rPr>
        <w:t xml:space="preserve"> từ 15m</w:t>
      </w:r>
      <w:r w:rsidRPr="00F7024D">
        <w:rPr>
          <w:rFonts w:ascii="Arial" w:hAnsi="Arial" w:cs="Arial"/>
          <w:color w:val="auto"/>
          <w:sz w:val="20"/>
          <w:szCs w:val="20"/>
          <w:vertAlign w:val="superscript"/>
        </w:rPr>
        <w:t>2</w:t>
      </w:r>
      <w:r w:rsidRPr="00F7024D">
        <w:rPr>
          <w:rFonts w:ascii="Arial" w:hAnsi="Arial" w:cs="Arial"/>
          <w:color w:val="auto"/>
          <w:sz w:val="20"/>
          <w:szCs w:val="20"/>
        </w:rPr>
        <w:t xml:space="preserve"> trở lên (diện tích S2 ≥ 15m</w:t>
      </w:r>
      <w:r w:rsidRPr="00F7024D">
        <w:rPr>
          <w:rFonts w:ascii="Arial" w:hAnsi="Arial" w:cs="Arial"/>
          <w:color w:val="auto"/>
          <w:sz w:val="20"/>
          <w:szCs w:val="20"/>
          <w:vertAlign w:val="superscript"/>
        </w:rPr>
        <w:t>2</w:t>
      </w:r>
      <w:r w:rsidRPr="00F7024D">
        <w:rPr>
          <w:rFonts w:ascii="Arial" w:hAnsi="Arial" w:cs="Arial"/>
          <w:color w:val="auto"/>
          <w:sz w:val="20"/>
          <w:szCs w:val="20"/>
        </w:rPr>
        <w:t xml:space="preserve"> và </w:t>
      </w:r>
      <w:r w:rsidRPr="00F7024D">
        <w:rPr>
          <w:rFonts w:ascii="Arial" w:hAnsi="Arial" w:cs="Arial"/>
          <w:color w:val="auto"/>
          <w:sz w:val="20"/>
          <w:szCs w:val="20"/>
          <w:lang w:val="en-US"/>
        </w:rPr>
        <w:t>S</w:t>
      </w:r>
      <w:r w:rsidRPr="00F7024D">
        <w:rPr>
          <w:rFonts w:ascii="Arial" w:hAnsi="Arial" w:cs="Arial"/>
          <w:color w:val="auto"/>
          <w:sz w:val="20"/>
          <w:szCs w:val="20"/>
        </w:rPr>
        <w:t>3 ≥ 15m</w:t>
      </w:r>
      <w:r w:rsidRPr="00F7024D">
        <w:rPr>
          <w:rFonts w:ascii="Arial" w:hAnsi="Arial" w:cs="Arial"/>
          <w:color w:val="auto"/>
          <w:sz w:val="20"/>
          <w:szCs w:val="20"/>
          <w:vertAlign w:val="superscript"/>
        </w:rPr>
        <w:t>2</w:t>
      </w:r>
      <w:r w:rsidRPr="00F7024D">
        <w:rPr>
          <w:rFonts w:ascii="Arial" w:hAnsi="Arial" w:cs="Arial"/>
          <w:color w:val="auto"/>
          <w:sz w:val="20"/>
          <w:szCs w:val="20"/>
        </w:rPr>
        <w:t>).</w:t>
      </w:r>
    </w:p>
    <w:p w:rsidR="00EF66E2" w:rsidRPr="00F7024D" w:rsidRDefault="00EF66E2" w:rsidP="00EF66E2">
      <w:pPr>
        <w:spacing w:before="120"/>
        <w:rPr>
          <w:rFonts w:ascii="Arial" w:hAnsi="Arial" w:cs="Arial"/>
          <w:b/>
          <w:color w:val="auto"/>
          <w:sz w:val="20"/>
          <w:szCs w:val="20"/>
        </w:rPr>
      </w:pPr>
      <w:r w:rsidRPr="00F7024D">
        <w:rPr>
          <w:rFonts w:ascii="Arial" w:hAnsi="Arial" w:cs="Arial"/>
          <w:b/>
          <w:color w:val="auto"/>
          <w:sz w:val="20"/>
          <w:szCs w:val="20"/>
        </w:rPr>
        <w:t>Hình 3:</w:t>
      </w:r>
    </w:p>
    <w:p w:rsidR="00EF66E2" w:rsidRPr="00F7024D" w:rsidRDefault="00EF66E2" w:rsidP="00EF66E2">
      <w:pPr>
        <w:spacing w:before="120"/>
        <w:rPr>
          <w:rFonts w:ascii="Arial" w:hAnsi="Arial" w:cs="Arial"/>
          <w:color w:val="auto"/>
          <w:sz w:val="20"/>
          <w:szCs w:val="20"/>
          <w:lang w:val="en-US"/>
        </w:rPr>
      </w:pPr>
      <w:r>
        <w:rPr>
          <w:rFonts w:ascii="Arial" w:hAnsi="Arial" w:cs="Arial"/>
          <w:noProof/>
          <w:color w:val="auto"/>
          <w:sz w:val="20"/>
          <w:szCs w:val="20"/>
          <w:lang w:val="en-US" w:eastAsia="en-US"/>
        </w:rPr>
        <w:drawing>
          <wp:inline distT="0" distB="0" distL="0" distR="0">
            <wp:extent cx="5486400" cy="2162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162175"/>
                    </a:xfrm>
                    <a:prstGeom prst="rect">
                      <a:avLst/>
                    </a:prstGeom>
                    <a:noFill/>
                    <a:ln>
                      <a:noFill/>
                    </a:ln>
                  </pic:spPr>
                </pic:pic>
              </a:graphicData>
            </a:graphic>
          </wp:inline>
        </w:drawing>
      </w:r>
    </w:p>
    <w:p w:rsidR="00EF66E2" w:rsidRPr="00F7024D" w:rsidRDefault="00EF66E2" w:rsidP="00EF66E2">
      <w:pPr>
        <w:spacing w:before="120"/>
        <w:rPr>
          <w:rFonts w:ascii="Arial" w:hAnsi="Arial" w:cs="Arial"/>
          <w:bCs/>
          <w:color w:val="auto"/>
          <w:sz w:val="20"/>
          <w:szCs w:val="20"/>
        </w:rPr>
      </w:pPr>
      <w:r w:rsidRPr="00F7024D">
        <w:rPr>
          <w:rFonts w:ascii="Arial" w:hAnsi="Arial" w:cs="Arial"/>
          <w:bCs/>
          <w:color w:val="auto"/>
          <w:sz w:val="20"/>
          <w:szCs w:val="20"/>
          <w:lang w:val="en-US"/>
        </w:rPr>
        <w:t xml:space="preserve">6.1.2. </w:t>
      </w:r>
      <w:r w:rsidRPr="00F7024D">
        <w:rPr>
          <w:rFonts w:ascii="Arial" w:hAnsi="Arial" w:cs="Arial"/>
          <w:bCs/>
          <w:color w:val="auto"/>
          <w:sz w:val="20"/>
          <w:szCs w:val="20"/>
        </w:rPr>
        <w:t>Trường hợp 2</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rPr>
        <w:t>Khu đất, thửa đất có chiều dài lớn gấp nhiều lần so với chiều rộng, thì đơn giá đất tính theo từng phần diện tích t</w:t>
      </w:r>
      <w:r w:rsidRPr="00F7024D">
        <w:rPr>
          <w:rFonts w:ascii="Arial" w:hAnsi="Arial" w:cs="Arial"/>
          <w:color w:val="auto"/>
          <w:sz w:val="20"/>
          <w:szCs w:val="20"/>
          <w:lang w:val="en-US"/>
        </w:rPr>
        <w:t>ù</w:t>
      </w:r>
      <w:r w:rsidRPr="00F7024D">
        <w:rPr>
          <w:rFonts w:ascii="Arial" w:hAnsi="Arial" w:cs="Arial"/>
          <w:color w:val="auto"/>
          <w:sz w:val="20"/>
          <w:szCs w:val="20"/>
        </w:rPr>
        <w:t>y theo khoảng cách so với mặt tiền đường, hẻm theo (hình 4) dưới đây:</w:t>
      </w:r>
    </w:p>
    <w:p w:rsidR="00EF66E2" w:rsidRPr="00F7024D" w:rsidRDefault="00EF66E2" w:rsidP="00EF66E2">
      <w:pPr>
        <w:spacing w:before="120"/>
        <w:rPr>
          <w:rFonts w:ascii="Arial" w:hAnsi="Arial" w:cs="Arial"/>
          <w:b/>
          <w:color w:val="auto"/>
          <w:sz w:val="20"/>
          <w:szCs w:val="20"/>
          <w:lang w:val="en-US"/>
        </w:rPr>
      </w:pPr>
      <w:r w:rsidRPr="00F7024D">
        <w:rPr>
          <w:rFonts w:ascii="Arial" w:hAnsi="Arial" w:cs="Arial"/>
          <w:b/>
          <w:color w:val="auto"/>
          <w:sz w:val="20"/>
          <w:szCs w:val="20"/>
        </w:rPr>
        <w:t>Hình 4</w:t>
      </w:r>
      <w:r w:rsidRPr="00F7024D">
        <w:rPr>
          <w:rFonts w:ascii="Arial" w:hAnsi="Arial" w:cs="Arial"/>
          <w:b/>
          <w:color w:val="auto"/>
          <w:sz w:val="20"/>
          <w:szCs w:val="20"/>
          <w:lang w:val="en-US"/>
        </w:rPr>
        <w:t>:</w:t>
      </w:r>
    </w:p>
    <w:p w:rsidR="00EF66E2" w:rsidRPr="00F7024D" w:rsidRDefault="00EF66E2" w:rsidP="00EF66E2">
      <w:pPr>
        <w:spacing w:before="120"/>
        <w:rPr>
          <w:rFonts w:ascii="Arial" w:hAnsi="Arial" w:cs="Arial"/>
          <w:color w:val="auto"/>
          <w:sz w:val="20"/>
          <w:szCs w:val="20"/>
          <w:lang w:val="en-US"/>
        </w:rPr>
      </w:pPr>
      <w:r>
        <w:rPr>
          <w:rFonts w:ascii="Arial" w:hAnsi="Arial" w:cs="Arial"/>
          <w:noProof/>
          <w:color w:val="auto"/>
          <w:sz w:val="20"/>
          <w:szCs w:val="20"/>
          <w:lang w:val="en-US" w:eastAsia="en-US"/>
        </w:rPr>
        <w:lastRenderedPageBreak/>
        <w:drawing>
          <wp:inline distT="0" distB="0" distL="0" distR="0">
            <wp:extent cx="4895850" cy="2867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5850" cy="2867025"/>
                    </a:xfrm>
                    <a:prstGeom prst="rect">
                      <a:avLst/>
                    </a:prstGeom>
                    <a:noFill/>
                    <a:ln>
                      <a:noFill/>
                    </a:ln>
                  </pic:spPr>
                </pic:pic>
              </a:graphicData>
            </a:graphic>
          </wp:inline>
        </w:drawing>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rPr>
        <w:t xml:space="preserve">Nhà A có diện tích </w:t>
      </w:r>
      <w:r w:rsidRPr="00F7024D">
        <w:rPr>
          <w:rFonts w:ascii="Arial" w:hAnsi="Arial" w:cs="Arial"/>
          <w:color w:val="auto"/>
          <w:sz w:val="20"/>
          <w:szCs w:val="20"/>
          <w:lang w:val="en-US"/>
        </w:rPr>
        <w:t xml:space="preserve">S </w:t>
      </w:r>
      <w:r w:rsidRPr="00F7024D">
        <w:rPr>
          <w:rFonts w:ascii="Arial" w:hAnsi="Arial" w:cs="Arial"/>
          <w:color w:val="auto"/>
          <w:sz w:val="20"/>
          <w:szCs w:val="20"/>
        </w:rPr>
        <w:t>= S</w:t>
      </w:r>
      <w:r w:rsidRPr="00F7024D">
        <w:rPr>
          <w:rFonts w:ascii="Arial" w:hAnsi="Arial" w:cs="Arial"/>
          <w:color w:val="auto"/>
          <w:sz w:val="20"/>
          <w:szCs w:val="20"/>
          <w:lang w:val="en-US"/>
        </w:rPr>
        <w:t>1</w:t>
      </w:r>
      <w:r w:rsidRPr="00F7024D">
        <w:rPr>
          <w:rFonts w:ascii="Arial" w:hAnsi="Arial" w:cs="Arial"/>
          <w:color w:val="auto"/>
          <w:sz w:val="20"/>
          <w:szCs w:val="20"/>
        </w:rPr>
        <w:t xml:space="preserve"> + S2 + S3.</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rPr>
        <w:t>Chiều rộng R.</w:t>
      </w:r>
    </w:p>
    <w:p w:rsidR="00EF66E2" w:rsidRPr="00F7024D" w:rsidRDefault="00EF66E2" w:rsidP="00EF66E2">
      <w:pPr>
        <w:spacing w:before="120"/>
        <w:rPr>
          <w:rFonts w:ascii="Arial" w:hAnsi="Arial" w:cs="Arial"/>
          <w:color w:val="auto"/>
          <w:sz w:val="20"/>
          <w:szCs w:val="20"/>
          <w:lang w:val="en-US"/>
        </w:rPr>
      </w:pPr>
      <w:r w:rsidRPr="00F7024D">
        <w:rPr>
          <w:rFonts w:ascii="Arial" w:hAnsi="Arial" w:cs="Arial"/>
          <w:color w:val="auto"/>
          <w:sz w:val="20"/>
          <w:szCs w:val="20"/>
        </w:rPr>
        <w:t xml:space="preserve">Chiều dài khu đất, thửa đất = A + B + </w:t>
      </w:r>
      <w:r w:rsidRPr="00F7024D">
        <w:rPr>
          <w:rFonts w:ascii="Arial" w:hAnsi="Arial" w:cs="Arial"/>
          <w:color w:val="auto"/>
          <w:sz w:val="20"/>
          <w:szCs w:val="20"/>
          <w:lang w:val="en-US"/>
        </w:rPr>
        <w:t>C.</w:t>
      </w:r>
    </w:p>
    <w:p w:rsidR="00EF66E2" w:rsidRPr="00F7024D" w:rsidRDefault="00EF66E2" w:rsidP="00EF66E2">
      <w:pPr>
        <w:spacing w:before="120"/>
        <w:rPr>
          <w:rFonts w:ascii="Arial" w:hAnsi="Arial" w:cs="Arial"/>
          <w:color w:val="auto"/>
          <w:sz w:val="20"/>
          <w:szCs w:val="20"/>
          <w:lang w:val="en-US"/>
        </w:rPr>
      </w:pPr>
      <w:r w:rsidRPr="00F7024D">
        <w:rPr>
          <w:rFonts w:ascii="Arial" w:hAnsi="Arial" w:cs="Arial"/>
          <w:color w:val="auto"/>
          <w:sz w:val="20"/>
          <w:szCs w:val="20"/>
        </w:rPr>
        <w:t xml:space="preserve">+ Phần khu đất, thửa đất nằm </w:t>
      </w:r>
      <w:r w:rsidRPr="00F7024D">
        <w:rPr>
          <w:rFonts w:ascii="Arial" w:hAnsi="Arial" w:cs="Arial"/>
          <w:color w:val="auto"/>
          <w:sz w:val="20"/>
          <w:szCs w:val="20"/>
          <w:lang w:val="en-US"/>
        </w:rPr>
        <w:t>tr</w:t>
      </w:r>
      <w:r w:rsidRPr="00F7024D">
        <w:rPr>
          <w:rFonts w:ascii="Arial" w:hAnsi="Arial" w:cs="Arial"/>
          <w:color w:val="auto"/>
          <w:sz w:val="20"/>
          <w:szCs w:val="20"/>
        </w:rPr>
        <w:t xml:space="preserve">ong phạm vi từ mặt tiền đường (hẻm) có chiều dài lớn gấp 5 lần chiều rộng của khu đất, thửa đất thì tính theo đơn giá đất mặt tiền đường (hẻm), cụ thể: </w:t>
      </w:r>
      <w:r w:rsidRPr="00F7024D">
        <w:rPr>
          <w:rFonts w:ascii="Arial" w:hAnsi="Arial" w:cs="Arial"/>
          <w:color w:val="auto"/>
          <w:sz w:val="20"/>
          <w:szCs w:val="20"/>
          <w:lang w:val="en-US"/>
        </w:rPr>
        <w:t>S</w:t>
      </w:r>
      <w:r w:rsidRPr="00F7024D">
        <w:rPr>
          <w:rFonts w:ascii="Arial" w:hAnsi="Arial" w:cs="Arial"/>
          <w:color w:val="auto"/>
          <w:sz w:val="20"/>
          <w:szCs w:val="20"/>
        </w:rPr>
        <w:t xml:space="preserve">1 được </w:t>
      </w:r>
      <w:r w:rsidRPr="00F7024D">
        <w:rPr>
          <w:rFonts w:ascii="Arial" w:hAnsi="Arial" w:cs="Arial"/>
          <w:color w:val="auto"/>
          <w:sz w:val="20"/>
          <w:szCs w:val="20"/>
          <w:lang w:val="en-US"/>
        </w:rPr>
        <w:t xml:space="preserve">tính </w:t>
      </w:r>
      <w:r w:rsidRPr="00F7024D">
        <w:rPr>
          <w:rFonts w:ascii="Arial" w:hAnsi="Arial" w:cs="Arial"/>
          <w:color w:val="auto"/>
          <w:sz w:val="20"/>
          <w:szCs w:val="20"/>
        </w:rPr>
        <w:t>giá đất mặt tiền đường (hẻm).</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rPr>
        <w:t>+ Phần khu đất, thửa đất nằm trong phạm vi có chiều dài lớn hơn 5 lần đến 8 lần chiều rộng của khu đất, thửa đất thì tính bằng 0,8 đơn giá đất mặt tiền đường (hẻm), cụ thể: S2 được tính đơn giá đất bằng 0,8 giá đất mặt tiền đường (hẻm).</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rPr>
        <w:t>+ Phần khu đất, thửa đất có chiều dài lớn hơn 8 lần chiều rộng của khu đất, thửa đất thì tính bằng 0,7 đơn giá đất mặt tiền đường (hẻm), cụ thể: S3 được tính đơn giá bằng 0,7 giá đất mặt tiền đường (hẻm).</w:t>
      </w:r>
    </w:p>
    <w:p w:rsidR="00EF66E2" w:rsidRPr="00F7024D" w:rsidRDefault="00EF66E2" w:rsidP="00EF66E2">
      <w:pPr>
        <w:spacing w:before="120"/>
        <w:rPr>
          <w:rFonts w:ascii="Arial" w:hAnsi="Arial" w:cs="Arial"/>
          <w:i/>
          <w:iCs/>
          <w:color w:val="auto"/>
          <w:sz w:val="20"/>
          <w:szCs w:val="20"/>
          <w:lang w:val="en-US"/>
        </w:rPr>
      </w:pPr>
      <w:r w:rsidRPr="00F7024D">
        <w:rPr>
          <w:rFonts w:ascii="Arial" w:hAnsi="Arial" w:cs="Arial"/>
          <w:i/>
          <w:iCs/>
          <w:color w:val="auto"/>
          <w:sz w:val="20"/>
          <w:szCs w:val="20"/>
          <w:lang w:val="en-US"/>
        </w:rPr>
        <w:t>(Nếu khu đất, thửa đất thuộc cả hai trường hợp nêu trên thì khi xác định giá đất được áp dụng theo trường hợp điểm 6.1.1, sau đó áp dụng trường hợp điểm 6.1.2)</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6.2. </w:t>
      </w:r>
      <w:r w:rsidRPr="00F7024D">
        <w:rPr>
          <w:rFonts w:ascii="Arial" w:hAnsi="Arial" w:cs="Arial"/>
          <w:color w:val="auto"/>
          <w:sz w:val="20"/>
          <w:szCs w:val="20"/>
        </w:rPr>
        <w:t>Khu đất, thửa đất hoặc nhà đất nằm ở vị trí tiếp giáp với nhiều mặt tiền đường thì đơn giá đất được xác định theo đường có đơn giá đất cao nhất.</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6.3. </w:t>
      </w:r>
      <w:r w:rsidRPr="00F7024D">
        <w:rPr>
          <w:rFonts w:ascii="Arial" w:hAnsi="Arial" w:cs="Arial"/>
          <w:color w:val="auto"/>
          <w:sz w:val="20"/>
          <w:szCs w:val="20"/>
        </w:rPr>
        <w:t>Khu đất, thửa đất hoặc nhà</w:t>
      </w:r>
      <w:r w:rsidRPr="00F7024D">
        <w:rPr>
          <w:rFonts w:ascii="Arial" w:hAnsi="Arial" w:cs="Arial"/>
          <w:color w:val="auto"/>
          <w:sz w:val="20"/>
          <w:szCs w:val="20"/>
          <w:lang w:val="en-US"/>
        </w:rPr>
        <w:t>,</w:t>
      </w:r>
      <w:r w:rsidRPr="00F7024D">
        <w:rPr>
          <w:rFonts w:ascii="Arial" w:hAnsi="Arial" w:cs="Arial"/>
          <w:color w:val="auto"/>
          <w:sz w:val="20"/>
          <w:szCs w:val="20"/>
        </w:rPr>
        <w:t xml:space="preserve"> đất nằm trong hẻm, có địa chỉ mang tên đường nhưng đường đó không có hẻm d</w:t>
      </w:r>
      <w:r w:rsidRPr="00F7024D">
        <w:rPr>
          <w:rFonts w:ascii="Arial" w:hAnsi="Arial" w:cs="Arial"/>
          <w:color w:val="auto"/>
          <w:sz w:val="20"/>
          <w:szCs w:val="20"/>
          <w:lang w:val="en-US"/>
        </w:rPr>
        <w:t>ẫ</w:t>
      </w:r>
      <w:r w:rsidRPr="00F7024D">
        <w:rPr>
          <w:rFonts w:ascii="Arial" w:hAnsi="Arial" w:cs="Arial"/>
          <w:color w:val="auto"/>
          <w:sz w:val="20"/>
          <w:szCs w:val="20"/>
        </w:rPr>
        <w:t>n vào mà phải đi bằng hẻm của đường khác hoặc có địa chỉ nhưng chỉ ghi tên ấp, khu phố</w:t>
      </w:r>
      <w:r w:rsidRPr="00F7024D">
        <w:rPr>
          <w:rFonts w:ascii="Arial" w:hAnsi="Arial" w:cs="Arial"/>
          <w:color w:val="auto"/>
          <w:sz w:val="20"/>
          <w:szCs w:val="20"/>
          <w:lang w:val="en-US"/>
        </w:rPr>
        <w:t xml:space="preserve"> </w:t>
      </w:r>
      <w:r w:rsidRPr="00F7024D">
        <w:rPr>
          <w:rFonts w:ascii="Arial" w:hAnsi="Arial" w:cs="Arial"/>
          <w:color w:val="auto"/>
          <w:sz w:val="20"/>
          <w:szCs w:val="20"/>
        </w:rPr>
        <w:t>không ghi tên đường thì đơn giá được tính theo hẻm dẫn ra đường gần nhất.</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6.4. </w:t>
      </w:r>
      <w:r w:rsidRPr="00F7024D">
        <w:rPr>
          <w:rFonts w:ascii="Arial" w:hAnsi="Arial" w:cs="Arial"/>
          <w:color w:val="auto"/>
          <w:sz w:val="20"/>
          <w:szCs w:val="20"/>
        </w:rPr>
        <w:t>Khu đất, thửa đất hoặc nhà đất ở vị trí trong hẻm ra đ</w:t>
      </w:r>
      <w:r w:rsidRPr="00F7024D">
        <w:rPr>
          <w:rFonts w:ascii="Arial" w:hAnsi="Arial" w:cs="Arial"/>
          <w:color w:val="auto"/>
          <w:sz w:val="20"/>
          <w:szCs w:val="20"/>
          <w:lang w:val="en-US"/>
        </w:rPr>
        <w:t>ượ</w:t>
      </w:r>
      <w:r w:rsidRPr="00F7024D">
        <w:rPr>
          <w:rFonts w:ascii="Arial" w:hAnsi="Arial" w:cs="Arial"/>
          <w:color w:val="auto"/>
          <w:sz w:val="20"/>
          <w:szCs w:val="20"/>
        </w:rPr>
        <w:t>c nhiều đường có đ</w:t>
      </w:r>
      <w:r w:rsidRPr="00F7024D">
        <w:rPr>
          <w:rFonts w:ascii="Arial" w:hAnsi="Arial" w:cs="Arial"/>
          <w:color w:val="auto"/>
          <w:sz w:val="20"/>
          <w:szCs w:val="20"/>
          <w:lang w:val="en-US"/>
        </w:rPr>
        <w:t>ơ</w:t>
      </w:r>
      <w:r w:rsidRPr="00F7024D">
        <w:rPr>
          <w:rFonts w:ascii="Arial" w:hAnsi="Arial" w:cs="Arial"/>
          <w:color w:val="auto"/>
          <w:sz w:val="20"/>
          <w:szCs w:val="20"/>
        </w:rPr>
        <w:t>n giá khác nhau thì đơn giá đ</w:t>
      </w:r>
      <w:r w:rsidRPr="00F7024D">
        <w:rPr>
          <w:rFonts w:ascii="Arial" w:hAnsi="Arial" w:cs="Arial"/>
          <w:color w:val="auto"/>
          <w:sz w:val="20"/>
          <w:szCs w:val="20"/>
          <w:lang w:val="en-US"/>
        </w:rPr>
        <w:t>ấ</w:t>
      </w:r>
      <w:r w:rsidRPr="00F7024D">
        <w:rPr>
          <w:rFonts w:ascii="Arial" w:hAnsi="Arial" w:cs="Arial"/>
          <w:color w:val="auto"/>
          <w:sz w:val="20"/>
          <w:szCs w:val="20"/>
        </w:rPr>
        <w:t>t được xác định theo hẻm dẫn ra đường gần nhất.</w:t>
      </w:r>
    </w:p>
    <w:p w:rsidR="00EF66E2" w:rsidRPr="00F7024D" w:rsidRDefault="00EF66E2" w:rsidP="00EF66E2">
      <w:pPr>
        <w:spacing w:before="120"/>
        <w:rPr>
          <w:rFonts w:ascii="Arial" w:hAnsi="Arial" w:cs="Arial"/>
          <w:color w:val="auto"/>
          <w:sz w:val="20"/>
          <w:szCs w:val="20"/>
          <w:lang w:val="en-US"/>
        </w:rPr>
      </w:pPr>
      <w:r w:rsidRPr="00F7024D">
        <w:rPr>
          <w:rFonts w:ascii="Arial" w:hAnsi="Arial" w:cs="Arial"/>
          <w:color w:val="auto"/>
          <w:sz w:val="20"/>
          <w:szCs w:val="20"/>
          <w:lang w:val="en-US"/>
        </w:rPr>
        <w:t xml:space="preserve">6.5. </w:t>
      </w:r>
      <w:r w:rsidRPr="00F7024D">
        <w:rPr>
          <w:rFonts w:ascii="Arial" w:hAnsi="Arial" w:cs="Arial"/>
          <w:color w:val="auto"/>
          <w:sz w:val="20"/>
          <w:szCs w:val="20"/>
        </w:rPr>
        <w:t>Khu đất, thửa đất hoặc nhà đất không có đường, hẻm dẫn vào hoặc phải đi</w:t>
      </w:r>
      <w:r w:rsidRPr="00F7024D">
        <w:rPr>
          <w:rFonts w:ascii="Arial" w:hAnsi="Arial" w:cs="Arial"/>
          <w:color w:val="auto"/>
          <w:sz w:val="20"/>
          <w:szCs w:val="20"/>
          <w:lang w:val="en-US"/>
        </w:rPr>
        <w:t xml:space="preserve"> </w:t>
      </w:r>
      <w:r w:rsidRPr="00F7024D">
        <w:rPr>
          <w:rFonts w:ascii="Arial" w:hAnsi="Arial" w:cs="Arial"/>
          <w:color w:val="auto"/>
          <w:sz w:val="20"/>
          <w:szCs w:val="20"/>
        </w:rPr>
        <w:t>vào bằng thuyền, ghe hoặc bờ đất thì đơn giá đất được xác định theo đơn giá đất có vị trí 4 của đường gần nhất đã có giá dẫn đến khu đất nhưng không thấp hơn đ</w:t>
      </w:r>
      <w:r w:rsidRPr="00F7024D">
        <w:rPr>
          <w:rFonts w:ascii="Arial" w:hAnsi="Arial" w:cs="Arial"/>
          <w:color w:val="auto"/>
          <w:sz w:val="20"/>
          <w:szCs w:val="20"/>
          <w:lang w:val="en-US"/>
        </w:rPr>
        <w:t>ơ</w:t>
      </w:r>
      <w:r w:rsidRPr="00F7024D">
        <w:rPr>
          <w:rFonts w:ascii="Arial" w:hAnsi="Arial" w:cs="Arial"/>
          <w:color w:val="auto"/>
          <w:sz w:val="20"/>
          <w:szCs w:val="20"/>
        </w:rPr>
        <w:t>n giá đ</w:t>
      </w:r>
      <w:r w:rsidRPr="00F7024D">
        <w:rPr>
          <w:rFonts w:ascii="Arial" w:hAnsi="Arial" w:cs="Arial"/>
          <w:color w:val="auto"/>
          <w:sz w:val="20"/>
          <w:szCs w:val="20"/>
          <w:lang w:val="en-US"/>
        </w:rPr>
        <w:t>ấ</w:t>
      </w:r>
      <w:r w:rsidRPr="00F7024D">
        <w:rPr>
          <w:rFonts w:ascii="Arial" w:hAnsi="Arial" w:cs="Arial"/>
          <w:color w:val="auto"/>
          <w:sz w:val="20"/>
          <w:szCs w:val="20"/>
        </w:rPr>
        <w:t>t của đất trồng cây lâu năm cùng khu vực</w:t>
      </w:r>
      <w:r w:rsidRPr="00F7024D">
        <w:rPr>
          <w:rFonts w:ascii="Arial" w:hAnsi="Arial" w:cs="Arial"/>
          <w:color w:val="auto"/>
          <w:sz w:val="20"/>
          <w:szCs w:val="20"/>
          <w:lang w:val="en-US"/>
        </w:rPr>
        <w:t>, vị trí</w:t>
      </w:r>
      <w:r w:rsidRPr="00F7024D">
        <w:rPr>
          <w:rFonts w:ascii="Arial" w:hAnsi="Arial" w:cs="Arial"/>
          <w:color w:val="auto"/>
          <w:sz w:val="20"/>
          <w:szCs w:val="20"/>
        </w:rPr>
        <w:t>.</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6.6. </w:t>
      </w:r>
      <w:r w:rsidRPr="00F7024D">
        <w:rPr>
          <w:rFonts w:ascii="Arial" w:hAnsi="Arial" w:cs="Arial"/>
          <w:color w:val="auto"/>
          <w:sz w:val="20"/>
          <w:szCs w:val="20"/>
        </w:rPr>
        <w:t>Đối với những khu đất, thửa đất thuộc đoạn đường nằm hai bên dạ cầu (song song cầu), tính bằng 0,7 đơn giá của tuyến đường đó.</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6.7. </w:t>
      </w:r>
      <w:r w:rsidRPr="00F7024D">
        <w:rPr>
          <w:rFonts w:ascii="Arial" w:hAnsi="Arial" w:cs="Arial"/>
          <w:color w:val="auto"/>
          <w:sz w:val="20"/>
          <w:szCs w:val="20"/>
        </w:rPr>
        <w:t>Đối với những khu đất, th</w:t>
      </w:r>
      <w:r w:rsidRPr="00F7024D">
        <w:rPr>
          <w:rFonts w:ascii="Arial" w:hAnsi="Arial" w:cs="Arial"/>
          <w:color w:val="auto"/>
          <w:sz w:val="20"/>
          <w:szCs w:val="20"/>
          <w:lang w:val="en-US"/>
        </w:rPr>
        <w:t>ử</w:t>
      </w:r>
      <w:r w:rsidRPr="00F7024D">
        <w:rPr>
          <w:rFonts w:ascii="Arial" w:hAnsi="Arial" w:cs="Arial"/>
          <w:color w:val="auto"/>
          <w:sz w:val="20"/>
          <w:szCs w:val="20"/>
        </w:rPr>
        <w:t>a đất thuộc đoạn đường nằm hai bên cầu vượt (song song cầu), dưới chân cầu vượt tính bằng 0,7 đơn giá của tuyến đường đó.</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6.8. </w:t>
      </w:r>
      <w:r w:rsidRPr="00F7024D">
        <w:rPr>
          <w:rFonts w:ascii="Arial" w:hAnsi="Arial" w:cs="Arial"/>
          <w:color w:val="auto"/>
          <w:sz w:val="20"/>
          <w:szCs w:val="20"/>
        </w:rPr>
        <w:t>Đối v</w:t>
      </w:r>
      <w:r w:rsidRPr="00F7024D">
        <w:rPr>
          <w:rFonts w:ascii="Arial" w:hAnsi="Arial" w:cs="Arial"/>
          <w:color w:val="auto"/>
          <w:sz w:val="20"/>
          <w:szCs w:val="20"/>
          <w:lang w:val="en-US"/>
        </w:rPr>
        <w:t>ớ</w:t>
      </w:r>
      <w:r w:rsidRPr="00F7024D">
        <w:rPr>
          <w:rFonts w:ascii="Arial" w:hAnsi="Arial" w:cs="Arial"/>
          <w:color w:val="auto"/>
          <w:sz w:val="20"/>
          <w:szCs w:val="20"/>
        </w:rPr>
        <w:t>i những khu đất, thửa đất nằm trong hành lang bảo vệ của đường điện cao thế tính bằng 0,7 đơn giá của tuyến đường đó.</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lastRenderedPageBreak/>
        <w:t xml:space="preserve">6.9. </w:t>
      </w:r>
      <w:r w:rsidRPr="00F7024D">
        <w:rPr>
          <w:rFonts w:ascii="Arial" w:hAnsi="Arial" w:cs="Arial"/>
          <w:color w:val="auto"/>
          <w:sz w:val="20"/>
          <w:szCs w:val="20"/>
        </w:rPr>
        <w:t>Đối với những khu đất, thửa đất thuộc đường nhánh dẫn lên cầu vượt tính bằng 0,7 đơn giá của tuyến đường đó.</w:t>
      </w:r>
    </w:p>
    <w:p w:rsidR="00EF66E2" w:rsidRPr="00F7024D" w:rsidRDefault="00EF66E2" w:rsidP="00EF66E2">
      <w:pPr>
        <w:spacing w:before="120"/>
        <w:rPr>
          <w:rFonts w:ascii="Arial" w:hAnsi="Arial" w:cs="Arial"/>
          <w:color w:val="auto"/>
          <w:sz w:val="20"/>
          <w:szCs w:val="20"/>
        </w:rPr>
      </w:pPr>
      <w:r w:rsidRPr="00F7024D">
        <w:rPr>
          <w:rFonts w:ascii="Arial" w:hAnsi="Arial" w:cs="Arial"/>
          <w:color w:val="auto"/>
          <w:sz w:val="20"/>
          <w:szCs w:val="20"/>
          <w:lang w:val="en-US"/>
        </w:rPr>
        <w:t xml:space="preserve">6.10. </w:t>
      </w:r>
      <w:r w:rsidRPr="00F7024D">
        <w:rPr>
          <w:rFonts w:ascii="Arial" w:hAnsi="Arial" w:cs="Arial"/>
          <w:color w:val="auto"/>
          <w:sz w:val="20"/>
          <w:szCs w:val="20"/>
        </w:rPr>
        <w:t>Đ</w:t>
      </w:r>
      <w:r w:rsidRPr="00F7024D">
        <w:rPr>
          <w:rFonts w:ascii="Arial" w:hAnsi="Arial" w:cs="Arial"/>
          <w:color w:val="auto"/>
          <w:sz w:val="20"/>
          <w:szCs w:val="20"/>
          <w:lang w:val="en-US"/>
        </w:rPr>
        <w:t>ố</w:t>
      </w:r>
      <w:r w:rsidRPr="00F7024D">
        <w:rPr>
          <w:rFonts w:ascii="Arial" w:hAnsi="Arial" w:cs="Arial"/>
          <w:color w:val="auto"/>
          <w:sz w:val="20"/>
          <w:szCs w:val="20"/>
        </w:rPr>
        <w:t>i với các thửa đất cách lề đường bằng một con kênh, rạch không được san lấp</w:t>
      </w:r>
      <w:r w:rsidRPr="00F7024D">
        <w:rPr>
          <w:rFonts w:ascii="Arial" w:hAnsi="Arial" w:cs="Arial"/>
          <w:color w:val="auto"/>
          <w:sz w:val="20"/>
          <w:szCs w:val="20"/>
          <w:lang w:val="en-US"/>
        </w:rPr>
        <w:t xml:space="preserve"> hoặc phần đất phía bên trong của thửa đất tiếp mặt tiền đường (cùng khuôn viên, cùng chủ sử dụng hoặc sử dụng chung)</w:t>
      </w:r>
      <w:r w:rsidRPr="00F7024D">
        <w:rPr>
          <w:rFonts w:ascii="Arial" w:hAnsi="Arial" w:cs="Arial"/>
          <w:color w:val="auto"/>
          <w:sz w:val="20"/>
          <w:szCs w:val="20"/>
        </w:rPr>
        <w:t xml:space="preserve"> thì giá đất được tính bằng 0,7 giá đất của đường đó.</w:t>
      </w:r>
    </w:p>
    <w:p w:rsidR="00EF66E2" w:rsidRPr="00F7024D" w:rsidRDefault="00EF66E2" w:rsidP="00EF66E2">
      <w:pPr>
        <w:spacing w:before="120"/>
        <w:rPr>
          <w:rFonts w:ascii="Arial" w:hAnsi="Arial" w:cs="Arial"/>
          <w:color w:val="auto"/>
          <w:sz w:val="20"/>
          <w:szCs w:val="20"/>
          <w:lang w:val="en-US"/>
        </w:rPr>
      </w:pPr>
      <w:r w:rsidRPr="00F7024D">
        <w:rPr>
          <w:rFonts w:ascii="Arial" w:hAnsi="Arial" w:cs="Arial"/>
          <w:color w:val="auto"/>
          <w:sz w:val="20"/>
          <w:szCs w:val="20"/>
          <w:lang w:val="en-US"/>
        </w:rPr>
        <w:t>6.11. Đối với khu đất, thửa đất có địa chỉ thuộc địa giới hành chính quận, huyện nhưng không số đường đi ra mà phải đi ra đường thuộc quận, huyện giáp ranh khác thì lấy giá đất của tuyến đường có tên trong Bảng giá đất thuộc quận, huyện giáp ranh đó để tính giá.</w:t>
      </w:r>
    </w:p>
    <w:p w:rsidR="006873A4" w:rsidRDefault="006873A4">
      <w:bookmarkStart w:id="0" w:name="_GoBack"/>
      <w:bookmarkEnd w:id="0"/>
    </w:p>
    <w:sectPr w:rsidR="006873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6E2"/>
    <w:rsid w:val="006873A4"/>
    <w:rsid w:val="00EF6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E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6E2"/>
    <w:rPr>
      <w:rFonts w:ascii="Tahoma" w:hAnsi="Tahoma" w:cs="Tahoma"/>
      <w:sz w:val="16"/>
      <w:szCs w:val="16"/>
    </w:rPr>
  </w:style>
  <w:style w:type="character" w:customStyle="1" w:styleId="BalloonTextChar">
    <w:name w:val="Balloon Text Char"/>
    <w:basedOn w:val="DefaultParagraphFont"/>
    <w:link w:val="BalloonText"/>
    <w:uiPriority w:val="99"/>
    <w:semiHidden/>
    <w:rsid w:val="00EF66E2"/>
    <w:rPr>
      <w:rFonts w:ascii="Tahoma" w:eastAsia="Courier New" w:hAnsi="Tahoma" w:cs="Tahoma"/>
      <w:color w:val="000000"/>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6E2"/>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6E2"/>
    <w:rPr>
      <w:rFonts w:ascii="Tahoma" w:hAnsi="Tahoma" w:cs="Tahoma"/>
      <w:sz w:val="16"/>
      <w:szCs w:val="16"/>
    </w:rPr>
  </w:style>
  <w:style w:type="character" w:customStyle="1" w:styleId="BalloonTextChar">
    <w:name w:val="Balloon Text Char"/>
    <w:basedOn w:val="DefaultParagraphFont"/>
    <w:link w:val="BalloonText"/>
    <w:uiPriority w:val="99"/>
    <w:semiHidden/>
    <w:rsid w:val="00EF66E2"/>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2024-11-05T09:32:00Z</dcterms:created>
  <dcterms:modified xsi:type="dcterms:W3CDTF">2024-11-05T09:32:00Z</dcterms:modified>
</cp:coreProperties>
</file>