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F4" w:rsidRDefault="001E6DF4" w:rsidP="001E6DF4">
      <w:pPr>
        <w:widowControl w:val="0"/>
        <w:autoSpaceDE w:val="0"/>
        <w:autoSpaceDN w:val="0"/>
        <w:adjustRightInd w:val="0"/>
        <w:spacing w:before="120"/>
        <w:jc w:val="center"/>
        <w:rPr>
          <w:rFonts w:ascii="Arial" w:hAnsi="Arial" w:cs="Arial"/>
          <w:b/>
          <w:szCs w:val="28"/>
        </w:rPr>
      </w:pPr>
      <w:r>
        <w:rPr>
          <w:rFonts w:ascii="Arial" w:hAnsi="Arial" w:cs="Arial"/>
          <w:b/>
          <w:bCs/>
          <w:szCs w:val="28"/>
        </w:rPr>
        <w:t>PHỤ LỤC VI:</w:t>
      </w:r>
    </w:p>
    <w:p w:rsidR="001E6DF4" w:rsidRDefault="001E6DF4" w:rsidP="001E6DF4">
      <w:pPr>
        <w:widowControl w:val="0"/>
        <w:autoSpaceDE w:val="0"/>
        <w:autoSpaceDN w:val="0"/>
        <w:adjustRightInd w:val="0"/>
        <w:spacing w:before="120"/>
        <w:jc w:val="center"/>
        <w:rPr>
          <w:rFonts w:ascii="Arial" w:hAnsi="Arial" w:cs="Arial"/>
          <w:sz w:val="20"/>
          <w:szCs w:val="27"/>
        </w:rPr>
      </w:pPr>
      <w:r>
        <w:rPr>
          <w:rFonts w:ascii="Arial" w:hAnsi="Arial" w:cs="Arial"/>
          <w:bCs/>
          <w:sz w:val="20"/>
          <w:szCs w:val="28"/>
        </w:rPr>
        <w:t>HƯỚNG DẪN LẬP BẢN ĐỒ KIỂM KÊ ĐẤT ĐAI</w:t>
      </w:r>
      <w:r>
        <w:rPr>
          <w:rFonts w:ascii="Arial" w:hAnsi="Arial" w:cs="Arial"/>
          <w:bCs/>
          <w:sz w:val="20"/>
          <w:szCs w:val="28"/>
        </w:rPr>
        <w:br/>
      </w:r>
      <w:r>
        <w:rPr>
          <w:rFonts w:ascii="Arial" w:hAnsi="Arial" w:cs="Arial"/>
          <w:i/>
          <w:iCs/>
          <w:sz w:val="20"/>
          <w:szCs w:val="27"/>
        </w:rPr>
        <w:t>(Ban hành kèm theo Thông tư số 08/2024/TT-BTNMT ngày 31 tháng 7 năm 2024 của Bộ trưởng Bộ Tài nguyên và Môi trường)</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I. LỰA CHỌN BẢN ĐỒ, DỮ LIỆU SỬ DỤNG TRONG CÔN</w:t>
      </w:r>
      <w:bookmarkStart w:id="0" w:name="_GoBack"/>
      <w:bookmarkEnd w:id="0"/>
      <w:r>
        <w:rPr>
          <w:rFonts w:ascii="Arial" w:hAnsi="Arial" w:cs="Arial"/>
          <w:b/>
          <w:bCs/>
          <w:sz w:val="20"/>
          <w:szCs w:val="26"/>
        </w:rPr>
        <w:t>G TÁC ĐIỀU TRA KIỂM KÊ ĐẤT ĐAI Ở CẤP XÃ</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Sử dụng bản đồ kiểm kê đất đai đã lập kỳ trước và đã được rà soát, cập nhật trong các năm thống kê đất đai.</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Đối với nơi đã có cơ sở dữ liệu đất đai được xây dựng sau thời điểm lập bản đồ kiểm kê đất đai kỳ trước thì sử dụng cơ sở dữ liệu đất đai để điều tra kiểm kê.</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3. Đối với nơi chưa có cơ sở dữ liệu đất đai nhưng đã có bản đồ địa chính thành lập sau thời điểm lập bản đồ kiểm kê đất đai kỳ trước thì sử dụng bản đồ địa chính.</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Đối với nơi có bản đồ kiểm kê đất đai kỳ trước được lập từ bản đồ địa chính nhưng tại thời điểm kiểm kê đất đai chưa xây dựng và vận hành cơ sở dữ liệu đất đai thì sử dụng bản đồ kiểm kê đất đai kỳ trước.</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4. Đối với nơi đã có bản đồ kiểm kê đất đai kỳ trước nhưng không được lập trên cơ sở bản đồ địa chính và không có các nguồn tài liệu tại điểm 2 và 3 mục này thì sử dụng các nguồn tài liệu sau (nếu có): bình đồ ảnh được thành lập từ dữ liệu ảnh viễn thám, dữ liệu ảnh hàng không chụp trước thời điểm kiểm kê không quá 02 năm đã được nắn chỉnh về cơ sở toán học của bản đồ kiểm kê đất đai cần thành lập theo quy định; dữ liệu không gian đất đai nền; cơ sở dữ liệu nền địa lý quốc gia; bản đồ địa hình mới thành lập sau kỳ kiểm kê đất đai gần nhất có tỷ lệ lớn hơn hoặc bằng tỷ lệ bản đồ kiểm kê đất đai đã lập kỳ trước để rà soát, cập nhật bản đồ kiểm kê đất đai đã lập kỳ trước.</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II. XỬ LÝ, TỔNG HỢP CÁC NGUỒN BẢN ĐỒ, DỮ LIỆU PHỤC VỤ ĐIỀU TRA, KHOANH VẼ VÀ LẬP BẢN ĐỒ KIỂM KÊ ĐẤT ĐAI</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Đối với nơi sử dụng nguồn bản đồ, dữ liệu quy định tại điểm 4 mục I Phụ lục này thì rà soát, cập nhật, bổ sung nội dung có thay đổi từ nguồn bản đồ, dữ liệu này vào bản đồ kiểm kê đất đai đã lập kỳ trước.</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sử dụng bình đồ ảnh thì thực hiện điều vẽ nội nghiệp đối với những đường ranh giới khoanh đất và các đối tượng chiếm đất liên quan có hình ảnh rõ nét theo yêu cầu của bản đồ kiểm kê đất đai và cập nhật lên bản đồ kiểm kê đất đai đã lập kỳ trước; trường hợp có sai khác giữa hình ảnh trên bình đồ ảnh với bản đồ kiểm kê đất đai thì chỉnh lý theo bình đồ ảnh viễn thám, bình đồ ảnh hàng không, giữ nguyên các yếu tố nền ảnh ở dạng raster để phục vụ điều tra, khoanh vẽ.</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Rà soát, cập nhật khoanh vẽ nội nghiệp vào bản đồ, dữ liệu quy định tại mục I Phụ lục này đối với các trường hợp có biến động từ hồ sơ giao đất, cho thuê đất, thu hồi đất, chuyển mục đích sử dụng đất, đăng ký biến động đất đai (theo bản tổng hợp các trường hợp biến động đất đai do cơ quan có chức năng quản lý đất đai cấp huyện, Văn phòng đăng ký đất đai chuyển đến), hồ sơ kiểm kê rừng của ngành nông nghiệp và cơ sở dữ liệu đất lúa đã thực hiện trong kỳ kiểm kê đất đai.</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3. Đối với nơi sử dụng nguồn bản đồ, dữ liệu quy định tại các điểm 2 và 3 mục I Phụ lục này thì biên tập tổng hợp các thửa đất thành các khoanh đất theo quy định tại khoản 1 Điều 20 của Thông tư này để điều tra kiểm kê. Trường hợp địa phương có bản đồ địa chính ở nhiều loại tỷ lệ khác nhau thì biên tập về cùng một tỷ lệ phù hợp với tỷ lệ của bản đồ kiểm kê đất đai cần thành lập.</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4. Rà soát đường biên giới, đường địa giới đơn vị hành chính trên bản đồ sử dụng để điều tra kiểm kê để cập nhật cho thống nhất với bản đồ biên giới, bản đồ địa giới hành chính mới nhất đã được cơ quan có thẩm quyền phê duyệt, công bố.</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khu vực không thống nhất đường địa giới đơn vị hành chính giữa thực tế đang quản lý với hồ sơ địa giới đơn vị hành chính thì trên bản đồ sử dụng để điều tra kiểm kê phải thể hiện đường địa giới đơn vị hành chính thực tế đang quản lý. Trường hợp khu vực không thống nhất về địa giới hành chính thì trên bản đồ sử dụng để điều tra kiểm kê phải thể hiện đường địa giới đơn vị hành chính khu vực không thống nhất theo ý kiến của các bên liên quan.</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lastRenderedPageBreak/>
        <w:t>Việc thể hiện yếu tố địa giới hành chính các cấp trên bản đồ sử dụng để điều tra kiểm kê đất đai dạng số phải đáp ứng các yêu cầu tự động hóa trong tính toán, thống kê báo cáo diện tích các loại đất, cho phép kiểm tra sự phù hợp về số liệu thống kê loại đất từ cấp xã đến cấp tỉnh và cả nước. Khi đường địa giới đơn vị hành chính các cấp trùng nhau thì ưu tiên biểu thị đường địa giới đơn vị hành chính cấp cao nhất.</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III. ĐIỀU TRA, KHOANH VẼ, CẬP NHẬT RANH GIỚI CÁC KHOANH ĐẤT VÀ CÁC ĐỐI TƯỢNG CHIẾM ĐẤT KHÁC CÓ LIÊN QUAN TRÊN THỰC ĐỊA</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Đối soát ranh giới, loại đất, đối tượng sử dụng, đối tượng quản lý của các khoanh đất và các đối tượng chiếm đất khác có liên quan bằng phương pháp so sánh tương quan giữa bản đồ và thực địa để xác định các trường hợp cần khoanh vẽ bổ sung, cập nhật bản đồ cho phù hợp với hiện trạng.</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phải khoanh vẽ, cập nhật ranh giới hoặc chia tách khoanh đất thì áp dụng phương pháp giao hội cạnh hoặc tọa độ vuông góc từ các điểm chi tiết rõ nét trên thực địa đã được biểu thị trên bản đồ; việc xác định chiều dài cạnh giao hội hoặc cạnh vuông góc có thể được đo bằng thước dây hoặc các dụng cụ đo khác có độ chính xác tương đương trở lên.</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Ranh giới chiếm đất của các đối tượng về thủy hệ, giao thông được khoanh vẽ theo yêu cầu sau: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a) Ranh giới công trình thủy lợi, giao thông thể hiện theo đường chân Taluy (đối với công trình đắp cao) hoặc theo đường đỉnh Taluy (đối với công trình đào sâu);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b) Ranh giới các đối tượng thủy văn hình thành tự nhiên (hồ, sông, ngòi, kênh, rạch, suối) thì thể hiện theo mép đỉnh mái trượt của đối tượng thủy văn; trường hợp đối tượng thủy văn có đường bờ bao thì ranh giới đối tượng thủy văn thể hiện theo chân phía ngoài của đường bờ bao.</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IV. LẬP BẢN ĐỒ KIỂM KÊ ĐẤT ĐAI CẤP XÃ</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Bản đồ kiểm kê đất đai được lập ở dạng số trên cơ sở kết quả điều tra khoanh vẽ trên thực địa.</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Trường hợp bản đồ sử dụng để điều tra thực địa không có bản gốc dạng số thì thực hiện quét, số hóa các yếu tố nội dung của bản đồ đã sử dụng và tích hợp, xử lý tiếp biên để lập bản đồ kiểm kê dạng số.</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3. Trường hợp ranh giới khoanh đất được xác định bằng phương pháp giao hội hoặc tọa độ vuông góc trên thực địa thì chuyển vẽ lên bản đồ số bằng một trong các phương pháp: quét, số hóa các yếu tố nội dung đã khoanh vẽ ngoài thực địa hoặc tính tọa độ các đỉnh của khoanh đất và đưa lên bản đồ bằng cách nhập tọa độ các điểm hoặc thực hiện dựng hình bằng phương pháp giao hội hoặc tọa độ vuông góc.</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4. Bản đồ kiểm kê đất đai được tổ chức theo các lớp thông tin, trong đó ranh giới các khoanh đất trong cùng một hệ thống chỉ tiêu được xác định cùng lớp thông tin bản đồ. Việc phân lớp thông tin bản đồ kiểm kê đất đai thực hiện theo quy định về phân lớp bản đồ hiện trạng sử dụng đất tại Phụ lục V ban hành kèm theo Thông tư này.</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5. Độ chính xác số hóa, chuyển vẽ, khoanh vẽ các yếu tố nội dung của bản đồ kiểm kê đất đai thực hiện như sau: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a) Bản đồ số hóa phải bảo đảm sai số kích thước các cạnh khung trong của bản đồ sau khi nắn so với kích thước lý thuyết không vượt quá 0,2 mm và đường chéo không vượt quá 0,3 mm tính theo tỷ lệ bản đồ;</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b) Sai số tương hỗ chuyển vẽ các khoanh đất không vượt quá ±0,5 mm tính theo tỷ lệ bản đồ hiện trạng sử dụng đất;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c) Sai số chuyển vẽ vị trí các yếu tố nội dung hiện trạng sử dụng đất không được vượt quá ± 0,3 mm tính theo tỷ lệ bản đồ hiện trạng sử dụng đất.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6. Việc lập bản đồ kiểm kê đất đai ở dạng số thực hiện như sau: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a) Cơ sở toán học của bản đồ kiểm kê đất đai được lập trong hệ quy chiếu và tọa độ quốc gia VN-2000, hệ độ cao quốc gia, sử dụng lưới chiếu hình trụ ngang đồng góc với múi chiếu 3º</w:t>
      </w:r>
      <w:r>
        <w:rPr>
          <w:rFonts w:ascii="Arial" w:hAnsi="Arial" w:cs="Arial"/>
          <w:sz w:val="20"/>
          <w:szCs w:val="18"/>
        </w:rPr>
        <w:t xml:space="preserve"> </w:t>
      </w:r>
      <w:r>
        <w:rPr>
          <w:rFonts w:ascii="Arial" w:hAnsi="Arial" w:cs="Arial"/>
          <w:sz w:val="20"/>
          <w:szCs w:val="28"/>
        </w:rPr>
        <w:t>có hệ số điều chỉnh tỷ lệ biến dạng chiều dài k</w:t>
      </w:r>
      <w:r>
        <w:rPr>
          <w:rFonts w:ascii="Arial" w:hAnsi="Arial" w:cs="Arial"/>
          <w:sz w:val="20"/>
          <w:szCs w:val="28"/>
          <w:vertAlign w:val="subscript"/>
        </w:rPr>
        <w:t>0</w:t>
      </w:r>
      <w:r>
        <w:rPr>
          <w:rFonts w:ascii="Arial" w:hAnsi="Arial" w:cs="Arial"/>
          <w:sz w:val="20"/>
          <w:szCs w:val="28"/>
        </w:rPr>
        <w:t>=0,9999. Kinh tuyến trục của từng tỉnh, thành phố trực thuộc trung ương quy định tại Phụ lục V ban hành kèm theo Thông tư này;</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lastRenderedPageBreak/>
        <w:t>b) Tệp tin bản đồ kiểm kê đất đai ở định dạng *.dgn của phần mềm Microstation, kèm theo tệp tin nguồn ký hiệu và lý lịch bản đồ; tệp tin phải ở dạng mở, cho phép chỉnh sửa, cập nhật thông tin khi cần thiết và có khả năng chuyển đổi khuôn dạng; fonts chữ, số tiếng Việt, bảng mã Unicode; thư viện các ký hiệu độc lập được tạo sẵn trong thư viện “HT” cho các dãy tỷ lệ có tên tương ứng là ht1-5.cell, ht10-25.cell, ht50-100.cell, ht250-1tr.cell,…; thư viện các ký hiệu hình tuyến theo dãy tỷ lệ có tên tương ứng là ht1-5.rsc, ht10-25.rsc, ht50-100.rsc, ht250-1tr.rsc…; bảng màu có tên là ht.tbl;</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c) Thông số của tệp tin chuẩn bản đồ (seed file) gồm: Đơn vị đo (Working Units); đơn vị làm việc chính (Master Units) là mét (m); đơn vị làm việc phụ (Sub Units) là milimét (mm); độ phân giải (Resolution) là 1000; tọa độ điểm trung tâm làm việc (Storage Center Point/Global Origin) là X: 500000 m, Y: 1000000 m.</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V. BIÊN TẬP BẢN ĐỒ KIỂM KÊ ĐẤT ĐAI</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Nội dung bản đồ kiểm kê đất đai bao gồm các nhóm lớp đối tượng sau: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a) Ranh giới và ký hiệu các khoanh đất theo chỉ tiêu kiểm kê;</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b) Biên giới quốc gia và đường địa giới hành chính các cấp;</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c) Thủy hệ và các đối tượng có liên quan gồm: biển, hồ, ao, đầm, phá, thùng đào, sông, ngòi, kênh, rạch, suối và các đối tượng thủy văn khác;</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d) Giao thông và các đối tượng có liên quan gồm: các công trình đường sắt, các loại đường bộ các cấp (kể cả đường nội đồng, đường đi lại trong khu dân cư, đường mòn tại các xã miền núi, trung du) và các công trình giao thông trên hệ thống đường đó;</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đ) Các yếu tố kinh tế, xã hội thể hiện tên các địa danh, trụ sở cơ quan chính quyền các cấp; tên công trình hạ tầng và các đối tượng khác;</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e) Yếu tố địa hình (điểm độ cao, ghi chú độ cao) và các nội dung khác của bản đồ đã sử dụng để điều tra kiểm kê (nếu có, trừ ranh giới thửa đất);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g) Các đối tượng dạng đường (là một trong các dạng Line String, Chain, Complex Chain hoặc Polyline,… theo phần mềm biên tập) phải thể hiện liên tục, không đứt đoạn và chỉ được dừng tại các điểm nút giao nhau giữa các đường thể hiện các đối tượng cùng kiểu;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h) Những đối tượng dạng vùng (là một trong các dạng pattern, shape, complex shape hoặc fill color,... theo phần mềm biên tập) phải thể hiện là các vùng khép kín;</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i) Các ký hiệu dạng điểm (là dạng cell theo phần mềm biên tập) phải thể hiện bằng các ký hiệu dạng điểm được thiết kế sẵn trong các tệp *.cell;</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k) Các đối tượng trên bản đồ kiểm kê đất đai dạng số phải thể hiện đúng lớp và các thông số kèm theo như quy định tại bảng phân lớp đối tượng. Đối với các đối tượng tham gia đóng vùng khoanh đất vẽ nửa theo tỷ lệ (như đường giao thông, địa giới…) thì sao lưu nguyên trạng phần tham gia đóng vùng và chuyển về lớp riêng để tham gia đóng vùng;</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l) Các ghi chú, thuyết minh;</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m) Khung bản đồ, lưới tọa độ vuông góc.</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Khoanh đất thể hiện trên bản đồ kiểm kê đất đai phải bảo đảm các yêu cầu sau:</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a) Ranh giới khoanh đất phải khép kín và được chuyển vẽ từ bản đồ sử dụng trong điều tra kiểm kê với độ chính xác cao nhất, không được tổng hợp, không khái quát hóa;</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b) Bổ sung làm rõ về mã loại đất trên bản đồ kiểm kê;</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c) Phải thể hiện nhãn khoanh đất gồm số thứ tự khoanh đất; diện tích khoanh đất; mã loại đất; mã loại đối tượng sử dụng đất hoặc đối tượng được giao quản lý đất theo hình thức như sau:</w:t>
      </w:r>
    </w:p>
    <w:p w:rsidR="001E6DF4" w:rsidRDefault="001E6DF4" w:rsidP="001E6DF4">
      <w:pPr>
        <w:widowControl w:val="0"/>
        <w:autoSpaceDE w:val="0"/>
        <w:autoSpaceDN w:val="0"/>
        <w:adjustRightInd w:val="0"/>
        <w:spacing w:before="120"/>
        <w:jc w:val="center"/>
        <w:rPr>
          <w:rFonts w:ascii="Arial" w:hAnsi="Arial" w:cs="Arial"/>
          <w:sz w:val="20"/>
          <w:szCs w:val="28"/>
        </w:rPr>
      </w:pPr>
      <w:r>
        <w:rPr>
          <w:rFonts w:ascii="Arial" w:hAnsi="Arial" w:cs="Arial"/>
          <w:noProof/>
          <w:sz w:val="20"/>
          <w:szCs w:val="28"/>
        </w:rPr>
        <w:drawing>
          <wp:inline distT="0" distB="0" distL="0" distR="0">
            <wp:extent cx="26765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457200"/>
                    </a:xfrm>
                    <a:prstGeom prst="rect">
                      <a:avLst/>
                    </a:prstGeom>
                    <a:noFill/>
                    <a:ln>
                      <a:noFill/>
                    </a:ln>
                  </pic:spPr>
                </pic:pic>
              </a:graphicData>
            </a:graphic>
          </wp:inline>
        </w:drawing>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lastRenderedPageBreak/>
        <w:t>d) Nhãn khoanh đất được tạo dưới dạng cell hoặc text. Mã ký hiệu loại đất, loại đối tượng sử dụng, đối tượng quản lý đất theo quy định tại Phụ lục V ban hành kèm theo Thông tư này;</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đ) Số thứ tự khoanh đất được thể hiện bằng số Ả Rập, từ 01 đến hết trong phạm vi toàn xã, thứ tự đánh số từ trái sang phải, từ trên xuống dưới, theo đường zích zắc (ziczac). Đối với các yếu tố chiếm đất không tạo thành khoanh đất được khép vùng theo đường địa giới hành chính và được đánh số thứ tự như khoanh đất;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e) Đối tượng thủy hệ, giao thông và các đối tượng khác liên quan thể hiện ranh giới chiếm đất của từng loại đối tượng và nhãn đối tượng như quy định tại điểm c khoản 2 mục này.</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VI. TÍNH DIỆN TÍCH CÁC KHOANH ĐẤT, ĐỐI TƯỢNG CHIẾM ĐẤT KHÔNG TẠO THÀNH THỬA ĐẤT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Các đối tượng cần tính diện tích gồm các khoanh đất, đối tượng chiếm đất không tạo thành thửa đất phải được khép vùng, xác định quan hệ không gian (topology) trên bản đồ kiểm kê đất đai.</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các đối tượng dạng vùng cùng kiểu (cùng kiểu đối tượng giao thông hoặc cùng kiểu đối tượng thủy văn…), giao cắt cùng mức thì đối tượng được tính theo đường ranh giới chiếm đất ngoài cùng. Trường hợp các đối tượng dạng vùng không cùng kiểu (không cùng kiểu đối tượng giao thông hoặc không cùng kiểu đối tượng thủy văn) hoặc cùng kiểu nhưng giao cắt không cùng mức thì diện tích phần giao nhau của hình chiếu thẳng đứng của các đối tượng đó trên mặt đất được tính cho đối tượng nằm trực tiếp trên mặt đất.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Diện tích các khoanh đất được tính bằng phương pháp giải tích trên bản đồ dạng số và được tổng hợp để kiểm tra đối chiếu với tổng diện tích của đơn vị hành chính cấp xã tính bằng phương pháp giải tích theo đường địa giới hành chính; trường hợp có sự chênh lệch diện tích giữa số liệu tổng hợp từ các khoanh đất với số liệu tính theo đường địa giới hành chính thì phải kiểm tra, để xử lý các trường hợp bị tính trùng hoặc bỏ sót.</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Kết quả tính diện tích các khoanh đất được tổng hợp vào bảng liệt kê danh sách các khoanh đất thể hiện các thông tin: mã số khoanh đất, diện tích khoanh đất, thuộc tính khoanh đất tương ứng với các chỉ tiêu kiểm kê đất đai theo quy định.</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3. Diện tích các khoanh đất tính trên bản đồ kiểm kê đất đai cấp xã theo đơn vị mét vuông (m</w:t>
      </w:r>
      <w:r>
        <w:rPr>
          <w:rFonts w:ascii="Arial" w:hAnsi="Arial" w:cs="Arial"/>
          <w:sz w:val="20"/>
          <w:szCs w:val="18"/>
        </w:rPr>
        <w:t>2</w:t>
      </w:r>
      <w:r>
        <w:rPr>
          <w:rFonts w:ascii="Arial" w:hAnsi="Arial" w:cs="Arial"/>
          <w:sz w:val="20"/>
          <w:szCs w:val="28"/>
        </w:rPr>
        <w:t>); số liệu diện tích trên các biểu thống kê, kiểm kê đất đai thể hiện theo đơn vị hécta (ha); được làm tròn số đến hai chữ số thập phân sau dấu phẩy (0,01 ha) đối với cấp xã, làm tròn số đến một chữ số thập phân sau dấu phẩy (0,1 ha) đối với cấp huyện và làm tròn số đến 01 ha đối với cấp tỉnh và cả nước.</w:t>
      </w:r>
    </w:p>
    <w:p w:rsidR="001E6DF4" w:rsidRDefault="001E6DF4" w:rsidP="001E6DF4">
      <w:pPr>
        <w:widowControl w:val="0"/>
        <w:autoSpaceDE w:val="0"/>
        <w:autoSpaceDN w:val="0"/>
        <w:adjustRightInd w:val="0"/>
        <w:spacing w:before="120"/>
        <w:rPr>
          <w:rFonts w:ascii="Arial" w:hAnsi="Arial" w:cs="Arial"/>
          <w:sz w:val="20"/>
          <w:szCs w:val="26"/>
        </w:rPr>
      </w:pPr>
      <w:r>
        <w:rPr>
          <w:rFonts w:ascii="Arial" w:hAnsi="Arial" w:cs="Arial"/>
          <w:b/>
          <w:bCs/>
          <w:sz w:val="20"/>
          <w:szCs w:val="26"/>
        </w:rPr>
        <w:t>VII. PHƯƠNG PHÁP TỔNG HỢP SỐ LIỆU KIỂM KÊ ĐẤT ĐAI</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1. Số liệu kiểm kê đất đai cấp xã được tổng hợp từ danh sách các khoanh đất trong kỳ thống kê, kiểm kê đất đai bằng phần mềm thống kê, kiểm kê đất đai của Bộ Tài nguyên và Môi trường.</w:t>
      </w:r>
    </w:p>
    <w:p w:rsid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Đối với các chỉ tiêu kiểm kê đất đai hoặc chỉ tiêu kiểm kê chuyên sâu khác thực hiện gắn với kiểm kê đất đai mà không tổng hợp được bằng phần mềm thống kê, kiểm kê đất đai của Bộ Tài nguyên và Môi trường thì sử dụng công cụ tính toán truyền thống để tổng hợp và được quy định cụ thể trong từng kỳ kiểm kê đất đai.</w:t>
      </w:r>
    </w:p>
    <w:p w:rsidR="00B91907" w:rsidRPr="001E6DF4" w:rsidRDefault="001E6DF4" w:rsidP="001E6DF4">
      <w:pPr>
        <w:widowControl w:val="0"/>
        <w:autoSpaceDE w:val="0"/>
        <w:autoSpaceDN w:val="0"/>
        <w:adjustRightInd w:val="0"/>
        <w:spacing w:before="120"/>
        <w:rPr>
          <w:rFonts w:ascii="Arial" w:hAnsi="Arial" w:cs="Arial"/>
          <w:sz w:val="20"/>
          <w:szCs w:val="28"/>
        </w:rPr>
      </w:pPr>
      <w:r>
        <w:rPr>
          <w:rFonts w:ascii="Arial" w:hAnsi="Arial" w:cs="Arial"/>
          <w:sz w:val="20"/>
          <w:szCs w:val="28"/>
        </w:rPr>
        <w:t>2. Số liệu kiểm kê đất đai cấp huyện, cấp tỉnh và cả nước được tổng hợp từ số liệu kiểm kê đất đai của của đơn vị hành chính trực thuộc bằng phần mềm thống kê, kiểm kê đất đai của Bộ Tài nguyên và Môi trường.</w:t>
      </w:r>
    </w:p>
    <w:sectPr w:rsidR="00B91907" w:rsidRPr="001E6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F4"/>
    <w:rsid w:val="001E6DF4"/>
    <w:rsid w:val="00B9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DF4"/>
    <w:rPr>
      <w:rFonts w:ascii="Tahoma" w:hAnsi="Tahoma" w:cs="Tahoma"/>
      <w:sz w:val="16"/>
      <w:szCs w:val="16"/>
    </w:rPr>
  </w:style>
  <w:style w:type="character" w:customStyle="1" w:styleId="BalloonTextChar">
    <w:name w:val="Balloon Text Char"/>
    <w:basedOn w:val="DefaultParagraphFont"/>
    <w:link w:val="BalloonText"/>
    <w:uiPriority w:val="99"/>
    <w:semiHidden/>
    <w:rsid w:val="001E6D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DF4"/>
    <w:rPr>
      <w:rFonts w:ascii="Tahoma" w:hAnsi="Tahoma" w:cs="Tahoma"/>
      <w:sz w:val="16"/>
      <w:szCs w:val="16"/>
    </w:rPr>
  </w:style>
  <w:style w:type="character" w:customStyle="1" w:styleId="BalloonTextChar">
    <w:name w:val="Balloon Text Char"/>
    <w:basedOn w:val="DefaultParagraphFont"/>
    <w:link w:val="BalloonText"/>
    <w:uiPriority w:val="99"/>
    <w:semiHidden/>
    <w:rsid w:val="001E6D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2024-12-18T07:31:00Z</dcterms:created>
  <dcterms:modified xsi:type="dcterms:W3CDTF">2024-12-18T07:32:00Z</dcterms:modified>
</cp:coreProperties>
</file>