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93" w:rsidRPr="00F87793" w:rsidRDefault="00F87793" w:rsidP="00F87793">
      <w:pPr>
        <w:shd w:val="clear" w:color="auto" w:fill="FFFFFF"/>
        <w:spacing w:after="0" w:line="234" w:lineRule="atLeast"/>
        <w:jc w:val="center"/>
        <w:rPr>
          <w:rFonts w:ascii="Arial" w:eastAsia="Times New Roman" w:hAnsi="Arial" w:cs="Arial"/>
          <w:color w:val="000000"/>
          <w:sz w:val="18"/>
          <w:szCs w:val="18"/>
        </w:rPr>
      </w:pPr>
      <w:bookmarkStart w:id="0" w:name="chuong_pl_3"/>
      <w:r w:rsidRPr="00F87793">
        <w:rPr>
          <w:rFonts w:ascii="Arial" w:eastAsia="Times New Roman" w:hAnsi="Arial" w:cs="Arial"/>
          <w:b/>
          <w:bCs/>
          <w:color w:val="000000"/>
          <w:sz w:val="24"/>
          <w:szCs w:val="24"/>
        </w:rPr>
        <w:t>PHỤ LỤC III:</w:t>
      </w:r>
      <w:bookmarkEnd w:id="0"/>
    </w:p>
    <w:p w:rsidR="00F87793" w:rsidRPr="00F87793" w:rsidRDefault="00F87793" w:rsidP="00F87793">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F87793">
        <w:rPr>
          <w:rFonts w:ascii="Arial" w:eastAsia="Times New Roman" w:hAnsi="Arial" w:cs="Arial"/>
          <w:color w:val="000000"/>
          <w:sz w:val="18"/>
          <w:szCs w:val="18"/>
        </w:rPr>
        <w:t>DANH MỤC THUỐC ĐẤU THẦU TẬP TRUNG CẤP ĐỊA PHƯƠNG</w:t>
      </w:r>
      <w:bookmarkEnd w:id="1"/>
      <w:r w:rsidRPr="00F87793">
        <w:rPr>
          <w:rFonts w:ascii="Arial" w:eastAsia="Times New Roman" w:hAnsi="Arial" w:cs="Arial"/>
          <w:color w:val="000000"/>
          <w:sz w:val="18"/>
          <w:szCs w:val="18"/>
        </w:rPr>
        <w:br/>
      </w:r>
      <w:r w:rsidRPr="00F87793">
        <w:rPr>
          <w:rFonts w:ascii="Arial" w:eastAsia="Times New Roman" w:hAnsi="Arial" w:cs="Arial"/>
          <w:i/>
          <w:iCs/>
          <w:color w:val="000000"/>
          <w:sz w:val="18"/>
          <w:szCs w:val="18"/>
        </w:rPr>
        <w:t>(Ban hành kèm theo Thông tư số 15/2020/TT-BYT ngày 10 tháng 8 năm 2020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1"/>
        <w:gridCol w:w="2591"/>
        <w:gridCol w:w="2013"/>
        <w:gridCol w:w="1726"/>
        <w:gridCol w:w="2399"/>
      </w:tblGrid>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b/>
                <w:bCs/>
                <w:color w:val="000000"/>
                <w:sz w:val="18"/>
                <w:szCs w:val="18"/>
              </w:rPr>
              <w:t>STT</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b/>
                <w:bCs/>
                <w:color w:val="000000"/>
                <w:sz w:val="18"/>
                <w:szCs w:val="18"/>
              </w:rPr>
              <w:t>Tên hoạt chất</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b/>
                <w:bCs/>
                <w:color w:val="000000"/>
                <w:sz w:val="18"/>
                <w:szCs w:val="18"/>
              </w:rPr>
              <w:t>Nồng độ/ Hàm lượng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b/>
                <w:bCs/>
                <w:color w:val="000000"/>
                <w:sz w:val="18"/>
                <w:szCs w:val="18"/>
              </w:rPr>
              <w:t>Đường dùng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b/>
                <w:bCs/>
                <w:color w:val="000000"/>
                <w:sz w:val="18"/>
                <w:szCs w:val="18"/>
              </w:rPr>
              <w:t>Đơn vị tính</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Acarbose</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Acetyl cystein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Aciclovir</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Acid Tranexamic</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 x 5ml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Acid Tranexamic</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 x 5ml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Adrenalin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1mg/ml x 1ml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Albendazol</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Albumin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 x 50ml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Allopurinol</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Alverin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Amikacin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Amiodaron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13</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Amoxcillin + acid clavulanic</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 + 62,5mg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Gói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14</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Amoxicilin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Amoxicilin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16</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Ampicilin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bookmarkStart w:id="2" w:name="_GoBack"/>
        <w:bookmarkEnd w:id="2"/>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17</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Amphotericin B</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18</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Atenolol</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19</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Atorvastatin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Azithromycin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21</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Azithromycin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200mg/5ml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22</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Bromhexin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23</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Bupivacain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0,5% x 4ml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lastRenderedPageBreak/>
              <w:t>24</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Bupivacain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0,5% x 20ml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Captopril</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26</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Carbimazol</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27</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Carboplatin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28</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Cefazolin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29</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Cefixim</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Cefixim</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31</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Cephalexin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32</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Ciclosporin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33</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Cimetidin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34</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Cimetidin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400mg</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35</w:t>
            </w:r>
          </w:p>
        </w:tc>
        <w:tc>
          <w:tcPr>
            <w:tcW w:w="13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Ciprofloxacin</w:t>
            </w:r>
          </w:p>
        </w:tc>
        <w:tc>
          <w:tcPr>
            <w:tcW w:w="105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2mg/ml x 100ml</w:t>
            </w:r>
          </w:p>
        </w:tc>
        <w:tc>
          <w:tcPr>
            <w:tcW w:w="900" w:type="pct"/>
            <w:tcBorders>
              <w:top w:val="single" w:sz="8" w:space="0" w:color="auto"/>
              <w:left w:val="single" w:sz="8" w:space="0" w:color="auto"/>
              <w:bottom w:val="nil"/>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36</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Ciprofloxacin</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0,3% x 5ml</w:t>
            </w: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Nhỏ mắt</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Clarithromycin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Clarithromycin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Clindamycin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150mg/ml x 4ml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Clindamycin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150mg/ml x 2ml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Clindamycin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Clindamycin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Clotrimazol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Dùng ngoài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Tuýp</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Diclofenac</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Diclofenac</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75mg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Dobutamin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Dopamin hydroclorid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40mg/ml x 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Doxycyclin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Enalapril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lastRenderedPageBreak/>
              <w:t>50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Enalapril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Etoposid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Famotidin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Fenofibrat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Fenofibrat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Fluconazol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Fluconazol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2mg/ml x 100ml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Fluorouracil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50mg/ml x 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Fluorouracil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50mg/ml x 10ml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Furosemid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10mg/ml x 2ml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Furosemid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Gentamicin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40mg/ml x 2ml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Glibenclamid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Gliclazid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Gliclazid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Heparin natri</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25.000IU</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Hydrocortison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Hyoscin butylbromid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20mg/ml x 1ml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Hyoscin butylbromid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Ibuprofen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Ibuprofen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Isosorbid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Ketoconazol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 x 5g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Dùng ngoài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Tuýp</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Ketoconazol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 x 10g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Dùng ngoài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Tuýp</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Lactulose</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10g/15ml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Chai/Lọ/Ống/Gói/Túi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Levofloxacin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lastRenderedPageBreak/>
              <w:t>76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Lidocain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 x 2ml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Lidocain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 x 10ml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Loperamid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79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Loratadin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Mebendazol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Meloxicam</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10mg/ml x 1,5ml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Meloxicam</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Metformin hydroclorid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Methotrexat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Methyl prednisolon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16mg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Methyl prednisolon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Methyl prednisolon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Methyldopa</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Methylergometrin maleat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0,2mg/ml x 1ml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Metronidazol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5mg/ml x 100ml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Metronidazol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Misoprostol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Nifedipin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Nifedipin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Nước cất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Nước cất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Ofloxacin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0,3% x 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Nhỏ mắt, tai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Ondansetron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2mg/ml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99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Oxytocin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5IU</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Pantoprazol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Paracetamol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80mg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Gói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lastRenderedPageBreak/>
              <w:t>102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Paracetamol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Gói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Paracetamol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Gói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Paracetamol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Paracetamol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650mg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Piroxicam</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20mg/ml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Piroxicam</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Povidon iod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 x 20ml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Dùng ngoài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Povidon iod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 x 100ml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Dùng ngoài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Povidon iod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 x 125ml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Dừng ngoài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Prednisolon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Propylthiouracil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Ranitidin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Ranitidin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Ribavirin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Risperidon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Salbutamol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0,5mg/ml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Salbutamol</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119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Simvastatin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120</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Simvastatin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121</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Spironolacton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25mg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122</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Sulfamethoxazol + Trimethoprim</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400mg + 80mg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123</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Sulfamethoxazol + Trimethoprim</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(40mg + 8mg)/ml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Chai/Lọ/Ống/Túi/Gói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124</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Sulpirid</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125</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Tamoxifen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126</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Tenofovir disoproxil fumarat</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300mg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Uống</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Viên</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lastRenderedPageBreak/>
              <w:t>127</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Vancomycin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500mg</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Tiêm/truyền</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Chai/Lọ/Ống/Túi</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128</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Xylometazolin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0,1% x 10ml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Nhỏ mũi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r w:rsidR="00F87793" w:rsidRPr="00F87793" w:rsidTr="00F87793">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129</w:t>
            </w:r>
          </w:p>
        </w:tc>
        <w:tc>
          <w:tcPr>
            <w:tcW w:w="13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rPr>
                <w:rFonts w:ascii="Arial" w:eastAsia="Times New Roman" w:hAnsi="Arial" w:cs="Arial"/>
                <w:color w:val="000000"/>
                <w:sz w:val="18"/>
                <w:szCs w:val="18"/>
              </w:rPr>
            </w:pPr>
            <w:r w:rsidRPr="00F87793">
              <w:rPr>
                <w:rFonts w:ascii="Arial" w:eastAsia="Times New Roman" w:hAnsi="Arial" w:cs="Arial"/>
                <w:color w:val="000000"/>
                <w:sz w:val="18"/>
                <w:szCs w:val="18"/>
              </w:rPr>
              <w:t>Xylometazolin</w:t>
            </w:r>
          </w:p>
        </w:tc>
        <w:tc>
          <w:tcPr>
            <w:tcW w:w="105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0,05% x 10ml</w:t>
            </w:r>
          </w:p>
        </w:tc>
        <w:tc>
          <w:tcPr>
            <w:tcW w:w="900" w:type="pct"/>
            <w:tcBorders>
              <w:top w:val="nil"/>
              <w:left w:val="single" w:sz="8" w:space="0" w:color="auto"/>
              <w:bottom w:val="single" w:sz="8" w:space="0" w:color="auto"/>
              <w:right w:val="nil"/>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Nhỏ mũi</w:t>
            </w:r>
          </w:p>
        </w:tc>
        <w:tc>
          <w:tcPr>
            <w:tcW w:w="1250" w:type="pct"/>
            <w:tcBorders>
              <w:top w:val="nil"/>
              <w:left w:val="single" w:sz="8" w:space="0" w:color="auto"/>
              <w:bottom w:val="single" w:sz="8" w:space="0" w:color="auto"/>
              <w:right w:val="single" w:sz="8" w:space="0" w:color="auto"/>
            </w:tcBorders>
            <w:shd w:val="clear" w:color="auto" w:fill="auto"/>
            <w:vAlign w:val="center"/>
            <w:hideMark/>
          </w:tcPr>
          <w:p w:rsidR="00F87793" w:rsidRPr="00F87793" w:rsidRDefault="00F87793" w:rsidP="00F87793">
            <w:pPr>
              <w:spacing w:before="120" w:after="120" w:line="234" w:lineRule="atLeast"/>
              <w:jc w:val="center"/>
              <w:rPr>
                <w:rFonts w:ascii="Arial" w:eastAsia="Times New Roman" w:hAnsi="Arial" w:cs="Arial"/>
                <w:color w:val="000000"/>
                <w:sz w:val="18"/>
                <w:szCs w:val="18"/>
              </w:rPr>
            </w:pPr>
            <w:r w:rsidRPr="00F87793">
              <w:rPr>
                <w:rFonts w:ascii="Arial" w:eastAsia="Times New Roman" w:hAnsi="Arial" w:cs="Arial"/>
                <w:color w:val="000000"/>
                <w:sz w:val="18"/>
                <w:szCs w:val="18"/>
              </w:rPr>
              <w:t>Chai/Lọ/Ống</w:t>
            </w:r>
          </w:p>
        </w:tc>
      </w:tr>
    </w:tbl>
    <w:p w:rsidR="00F87793" w:rsidRPr="00F87793" w:rsidRDefault="00F87793" w:rsidP="00F87793">
      <w:pPr>
        <w:shd w:val="clear" w:color="auto" w:fill="FFFFFF"/>
        <w:spacing w:before="120" w:after="120" w:line="234" w:lineRule="atLeast"/>
        <w:rPr>
          <w:rFonts w:ascii="Arial" w:eastAsia="Times New Roman" w:hAnsi="Arial" w:cs="Arial"/>
          <w:color w:val="000000"/>
          <w:sz w:val="18"/>
          <w:szCs w:val="18"/>
        </w:rPr>
      </w:pPr>
      <w:r w:rsidRPr="00F87793">
        <w:rPr>
          <w:rFonts w:ascii="Arial" w:eastAsia="Times New Roman" w:hAnsi="Arial" w:cs="Arial"/>
          <w:b/>
          <w:bCs/>
          <w:i/>
          <w:iCs/>
          <w:color w:val="000000"/>
          <w:sz w:val="18"/>
          <w:szCs w:val="18"/>
        </w:rPr>
        <w:t>Ghi chú:</w:t>
      </w:r>
    </w:p>
    <w:p w:rsidR="00F87793" w:rsidRPr="00F87793" w:rsidRDefault="00F87793" w:rsidP="00F87793">
      <w:pPr>
        <w:shd w:val="clear" w:color="auto" w:fill="FFFFFF"/>
        <w:spacing w:before="120" w:after="120" w:line="234" w:lineRule="atLeast"/>
        <w:rPr>
          <w:rFonts w:ascii="Arial" w:eastAsia="Times New Roman" w:hAnsi="Arial" w:cs="Arial"/>
          <w:color w:val="000000"/>
          <w:sz w:val="18"/>
          <w:szCs w:val="18"/>
        </w:rPr>
      </w:pPr>
      <w:r w:rsidRPr="00F87793">
        <w:rPr>
          <w:rFonts w:ascii="Arial" w:eastAsia="Times New Roman" w:hAnsi="Arial" w:cs="Arial"/>
          <w:i/>
          <w:iCs/>
          <w:color w:val="000000"/>
          <w:sz w:val="18"/>
          <w:szCs w:val="18"/>
        </w:rPr>
        <w:t>Căn cứ tình hình thực tế tại địa phương và bảo đảm cung ứng đủ thuốc phục vụ cho công tác phòng bệnh, chữa bệnh tại các cơ sở y tế trên địa bàn, Sở Y tế tỉnh, thành phố trực thuộc Trung ương có thể bổ sung vào Danh mục thuốc đấu thầu tập trung cấp địa phương các mặt hàng thuốc không thuộc danh mục này (trừ thuốc thuộc danh mục thuốc được áp dụng hình thức đàm phán giá và thuốc thuộc Mục A Danh mục thuốc đấu thầu tập trung cấp quốc gia) để trình Chủ tịch Ủy ban nhân dân tỉnh, thành phố quyết định đưa vào kế hoạch lựa chọn nhà thầu mua thuốc.</w:t>
      </w:r>
    </w:p>
    <w:p w:rsidR="00B72738" w:rsidRDefault="00B72738"/>
    <w:sectPr w:rsidR="00B727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93"/>
    <w:rsid w:val="00554D21"/>
    <w:rsid w:val="00B72738"/>
    <w:rsid w:val="00F8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7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7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2024-04-12T03:50:00Z</dcterms:created>
  <dcterms:modified xsi:type="dcterms:W3CDTF">2024-04-12T03:50:00Z</dcterms:modified>
</cp:coreProperties>
</file>