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34" w:rsidRPr="00F41434" w:rsidRDefault="00F41434" w:rsidP="00F41434">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F41434">
        <w:rPr>
          <w:rFonts w:ascii="Arial" w:eastAsia="Times New Roman" w:hAnsi="Arial" w:cs="Arial"/>
          <w:b/>
          <w:bCs/>
          <w:color w:val="000000"/>
          <w:sz w:val="18"/>
          <w:szCs w:val="18"/>
        </w:rPr>
        <w:t>THÔNG TIN VỀ QUAN HỆ LIÊN KẾT VÀ GIAO DỊCH LIÊN KẾT</w:t>
      </w:r>
      <w:bookmarkEnd w:id="0"/>
    </w:p>
    <w:p w:rsidR="00F41434" w:rsidRPr="00F41434" w:rsidRDefault="00F41434" w:rsidP="00F41434">
      <w:pPr>
        <w:shd w:val="clear" w:color="auto" w:fill="FFFFFF"/>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i/>
          <w:iCs/>
          <w:color w:val="000000"/>
          <w:sz w:val="18"/>
          <w:szCs w:val="18"/>
        </w:rPr>
        <w:t>(Kèm theo Tờ khai quyết toán thuế thu nhập doanh nghiệp)</w:t>
      </w:r>
    </w:p>
    <w:p w:rsidR="00F41434" w:rsidRPr="00F41434" w:rsidRDefault="00F41434" w:rsidP="00F41434">
      <w:pPr>
        <w:shd w:val="clear" w:color="auto" w:fill="FFFFFF"/>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Kỳ tính thuế: Từ ……….. đến …………….</w:t>
      </w:r>
    </w:p>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F41434" w:rsidRPr="00F41434" w:rsidTr="00F41434">
        <w:trPr>
          <w:tblCellSpacing w:w="0" w:type="dxa"/>
        </w:trPr>
        <w:tc>
          <w:tcPr>
            <w:tcW w:w="850" w:type="pct"/>
            <w:tcBorders>
              <w:top w:val="nil"/>
              <w:left w:val="nil"/>
              <w:bottom w:val="nil"/>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[02] Mã số thuế:</w:t>
            </w: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[03] Địa chỉ: ……………………………….………………………………………………………..</w:t>
      </w:r>
    </w:p>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[04] Quận/huyện: …………………….. [05] Tỉnh/thành phố: …………………………………..</w:t>
      </w:r>
    </w:p>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[06] Điện thoại: ……………………….. [07] Fax: …………….. [08] Email: …………………..</w:t>
      </w:r>
    </w:p>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[09]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F41434" w:rsidRPr="00F41434" w:rsidTr="00F41434">
        <w:trPr>
          <w:tblCellSpacing w:w="0" w:type="dxa"/>
        </w:trPr>
        <w:tc>
          <w:tcPr>
            <w:tcW w:w="850" w:type="pct"/>
            <w:tcBorders>
              <w:top w:val="nil"/>
              <w:left w:val="nil"/>
              <w:bottom w:val="nil"/>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[10] Mã số thuế:</w:t>
            </w: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MỤC I. THÔNG TIN VỀ CÁC BÊN LIÊN KẾT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2449"/>
        <w:gridCol w:w="1274"/>
        <w:gridCol w:w="1274"/>
        <w:gridCol w:w="294"/>
        <w:gridCol w:w="294"/>
        <w:gridCol w:w="294"/>
        <w:gridCol w:w="294"/>
        <w:gridCol w:w="293"/>
        <w:gridCol w:w="293"/>
        <w:gridCol w:w="293"/>
        <w:gridCol w:w="293"/>
        <w:gridCol w:w="293"/>
        <w:gridCol w:w="293"/>
        <w:gridCol w:w="979"/>
      </w:tblGrid>
      <w:tr w:rsidR="00F41434" w:rsidRPr="00F41434" w:rsidTr="00F4143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STT</w:t>
            </w:r>
          </w:p>
        </w:tc>
        <w:tc>
          <w:tcPr>
            <w:tcW w:w="1250" w:type="pct"/>
            <w:tcBorders>
              <w:top w:val="single" w:sz="8" w:space="0" w:color="auto"/>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Tên bên liên kết</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Quốc gia</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Mã số thuế</w:t>
            </w:r>
          </w:p>
        </w:tc>
        <w:tc>
          <w:tcPr>
            <w:tcW w:w="2000" w:type="pct"/>
            <w:gridSpan w:val="11"/>
            <w:tcBorders>
              <w:top w:val="single" w:sz="8" w:space="0" w:color="auto"/>
              <w:left w:val="nil"/>
              <w:bottom w:val="single" w:sz="8" w:space="0" w:color="auto"/>
              <w:right w:val="single" w:sz="8" w:space="0" w:color="auto"/>
            </w:tcBorders>
            <w:shd w:val="clear" w:color="auto" w:fill="FFFFFF"/>
            <w:vAlign w:val="bottom"/>
            <w:hideMark/>
          </w:tcPr>
          <w:p w:rsidR="00F41434" w:rsidRPr="00F41434" w:rsidRDefault="00F41434" w:rsidP="00F41434">
            <w:pPr>
              <w:spacing w:after="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Hình thức quan hệ liên kết</w:t>
            </w:r>
            <w:hyperlink r:id="rId5" w:anchor="_ftn1" w:tooltip="" w:history="1">
              <w:r w:rsidRPr="00F41434">
                <w:rPr>
                  <w:rFonts w:ascii="Arial" w:eastAsia="Times New Roman" w:hAnsi="Arial" w:cs="Arial"/>
                  <w:b/>
                  <w:bCs/>
                  <w:color w:val="000000"/>
                  <w:sz w:val="18"/>
                  <w:szCs w:val="18"/>
                  <w:vertAlign w:val="superscript"/>
                </w:rPr>
                <w:t>1</w:t>
              </w:r>
            </w:hyperlink>
          </w:p>
        </w:tc>
      </w:tr>
      <w:tr w:rsidR="00F41434" w:rsidRPr="00F41434" w:rsidTr="00F41434">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2000" w:type="pct"/>
            <w:gridSpan w:val="11"/>
            <w:tcBorders>
              <w:top w:val="nil"/>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w:t>
            </w:r>
          </w:p>
        </w:tc>
      </w:tr>
      <w:tr w:rsidR="00F41434" w:rsidRPr="00F41434" w:rsidTr="00F414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C</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D</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Đ</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E</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G</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H</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I</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K</w:t>
            </w: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L</w:t>
            </w: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MỤC II. CÁC TRƯỜNG HỢP ĐƯỢC MIỄN KÊ KHAI, MIỄN LẬP HỒ SƠ XÁC ĐỊNH GIÁ GIAO DỊCH LIÊN KẾT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7866"/>
        <w:gridCol w:w="959"/>
      </w:tblGrid>
      <w:tr w:rsidR="00F41434" w:rsidRPr="00F41434" w:rsidTr="00F4143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STT</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Trường hợp miễn trừ</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Thuộc diện miễn trừ</w:t>
            </w:r>
            <w:hyperlink r:id="rId6" w:anchor="_ftn2" w:tooltip="" w:history="1">
              <w:r w:rsidRPr="00F41434">
                <w:rPr>
                  <w:rFonts w:ascii="Arial" w:eastAsia="Times New Roman" w:hAnsi="Arial" w:cs="Arial"/>
                  <w:b/>
                  <w:bCs/>
                  <w:color w:val="000000"/>
                  <w:sz w:val="18"/>
                  <w:szCs w:val="18"/>
                  <w:vertAlign w:val="superscript"/>
                </w:rPr>
                <w:t>2</w:t>
              </w:r>
            </w:hyperlink>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41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41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Miễn kê khai xác định giá giao dịch liên kết tại mục III, mục IV và được miễn lập Hồ sơ xác định giá giao dịch liên kết</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100" w:type="pct"/>
            <w:tcBorders>
              <w:top w:val="nil"/>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chỉ phát sinh giao dịch với các bên liên kết là đối tượng nộp thuế thu nhập doanh nghiệp tại Việt Nam, áp dụng cùng mức thuế suất thuế thu nhập doanh nghiệp với người nộp thuế và không bên nào được hưởng ưu đãi thuế thu nhập doanh nghiệp trong kỳ tính thuế</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41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Miễn lập Hồ sơ xác định giá giao dịch liên kết</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41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có phát sinh giao dịch liên kết nhưng tổng doanh thu phát sinh của kỳ tính thuế dưới 50 tỷ đồng và tổng giá trị tất cả các giao dịch liên kết phát sinh trong kỳ tính thuế dưới 30 tỷ đồng</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b</w:t>
            </w:r>
          </w:p>
        </w:tc>
        <w:tc>
          <w:tcPr>
            <w:tcW w:w="41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đã ký kết Thỏa thuận trước về phương pháp xác định giá tính thuế thực hiện nộp Báo cáo thường niên theo quy định pháp luật về Thỏa thuận trước về phương pháp xác định giá tính thuế</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c</w:t>
            </w:r>
          </w:p>
        </w:tc>
        <w:tc>
          <w:tcPr>
            <w:tcW w:w="41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thực hiện kinh doanh với chức năng đơn giản, không phát sinh doanh thu, chi phí từ hoạt động khai thác, sử dụng tài sản vô hình, có doanh thu dưới 200 tỷ đồng, áp dụng tỷ suất lợi nhuận thuần trước lãi vay và thuế thu nhập doanh nghiệp trên doanh thu, bao gồm các lĩnh vực như sau:</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1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Phân phối: Từ 5% trở lên</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1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Sản xuất: Từ 10% trở lên</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100" w:type="pct"/>
            <w:tcBorders>
              <w:top w:val="nil"/>
              <w:left w:val="nil"/>
              <w:bottom w:val="single" w:sz="8" w:space="0" w:color="auto"/>
              <w:right w:val="single" w:sz="8" w:space="0" w:color="auto"/>
            </w:tcBorders>
            <w:shd w:val="clear" w:color="auto" w:fill="FFFFFF"/>
            <w:vAlign w:val="bottom"/>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Gia công: Từ 15% trở lên</w:t>
            </w:r>
          </w:p>
        </w:tc>
        <w:tc>
          <w:tcPr>
            <w:tcW w:w="500" w:type="pct"/>
            <w:tcBorders>
              <w:top w:val="nil"/>
              <w:left w:val="nil"/>
              <w:bottom w:val="single" w:sz="8" w:space="0" w:color="auto"/>
              <w:right w:val="single" w:sz="8" w:space="0" w:color="auto"/>
            </w:tcBorders>
            <w:shd w:val="clear" w:color="auto" w:fill="FFFFFF"/>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MỤC III. THÔNG TIN XÁC ĐỊNH GIÁ GIAO DỊCH LIÊN KẾT</w:t>
      </w:r>
    </w:p>
    <w:p w:rsidR="00F41434" w:rsidRPr="00F41434" w:rsidRDefault="00F41434" w:rsidP="00F41434">
      <w:pPr>
        <w:shd w:val="clear" w:color="auto" w:fill="FFFFFF"/>
        <w:spacing w:before="120" w:after="120" w:line="234" w:lineRule="atLeast"/>
        <w:jc w:val="right"/>
        <w:rPr>
          <w:rFonts w:ascii="Arial" w:eastAsia="Times New Roman" w:hAnsi="Arial" w:cs="Arial"/>
          <w:color w:val="000000"/>
          <w:sz w:val="18"/>
          <w:szCs w:val="18"/>
        </w:rPr>
      </w:pPr>
      <w:r w:rsidRPr="00F41434">
        <w:rPr>
          <w:rFonts w:ascii="Arial" w:eastAsia="Times New Roman" w:hAnsi="Arial" w:cs="Arial"/>
          <w:i/>
          <w:iCs/>
          <w:color w:val="000000"/>
          <w:sz w:val="18"/>
          <w:szCs w:val="18"/>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
        <w:gridCol w:w="1056"/>
        <w:gridCol w:w="571"/>
        <w:gridCol w:w="475"/>
        <w:gridCol w:w="862"/>
        <w:gridCol w:w="862"/>
        <w:gridCol w:w="571"/>
        <w:gridCol w:w="669"/>
        <w:gridCol w:w="669"/>
        <w:gridCol w:w="862"/>
        <w:gridCol w:w="991"/>
        <w:gridCol w:w="765"/>
        <w:gridCol w:w="572"/>
      </w:tblGrid>
      <w:tr w:rsidR="00F41434" w:rsidRPr="00F41434" w:rsidTr="00F4143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Nội dung</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bán ra cho bên liên kết</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mua vào từ bên liên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Lợi nhuận tăng do xác định lại theo giá giao dịch độc lập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Thu hộ, chi hộ, phân bổ cơ sở thường trú</w:t>
            </w:r>
            <w:hyperlink r:id="rId7" w:anchor="_ftn3" w:tooltip="" w:history="1">
              <w:r w:rsidRPr="00F41434">
                <w:rPr>
                  <w:rFonts w:ascii="Arial" w:eastAsia="Times New Roman" w:hAnsi="Arial" w:cs="Arial"/>
                  <w:b/>
                  <w:bCs/>
                  <w:color w:val="000000"/>
                  <w:sz w:val="18"/>
                  <w:szCs w:val="18"/>
                  <w:vertAlign w:val="superscript"/>
                </w:rPr>
                <w:t>3</w:t>
              </w:r>
            </w:hyperlink>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Giao dịch thuộc phạm vi áp dụng APA</w:t>
            </w:r>
            <w:hyperlink r:id="rId8" w:anchor="_ftn4" w:tooltip="" w:history="1">
              <w:r w:rsidRPr="00F41434">
                <w:rPr>
                  <w:rFonts w:ascii="Arial" w:eastAsia="Times New Roman" w:hAnsi="Arial" w:cs="Arial"/>
                  <w:b/>
                  <w:bCs/>
                  <w:color w:val="000000"/>
                  <w:sz w:val="18"/>
                  <w:szCs w:val="18"/>
                  <w:vertAlign w:val="superscript"/>
                </w:rPr>
                <w:t>4</w:t>
              </w:r>
            </w:hyperlink>
          </w:p>
        </w:tc>
      </w:tr>
      <w:tr w:rsidR="00F41434" w:rsidRPr="00F41434" w:rsidTr="00F414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ghi nhận của giao dịch liên kết</w:t>
            </w: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lại theo giá giao dịch độc lập</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Chênh lệch</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Phương pháp xác định giá</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ghi nhận của giao dịch liên kết</w:t>
            </w: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lại theo giá giao dịch độc lập</w:t>
            </w: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Chênh lệch</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Phương pháp xác định giá</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(5)=(4)-(3)</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(9)=(8)-(7)</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(11)=(5)+(9)</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(13)</w:t>
            </w: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I</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giá trị giao dịch phát sinh từ hoạt động kinh doanh</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II</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giá trị giao dịch phát sinh từ hoạt động liên kết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Hàng hóa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1.1</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xml:space="preserve">Hàng hóa </w:t>
            </w:r>
            <w:r w:rsidRPr="00F41434">
              <w:rPr>
                <w:rFonts w:ascii="Arial" w:eastAsia="Times New Roman" w:hAnsi="Arial" w:cs="Arial"/>
                <w:color w:val="000000"/>
                <w:sz w:val="18"/>
                <w:szCs w:val="18"/>
              </w:rPr>
              <w:lastRenderedPageBreak/>
              <w:t>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Hàng hóa không 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Dịch vụ</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2.1</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Nghiên cứu, phát triển</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Quảng cáo, tiếp thị</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2.3</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Quản lý kinh doanh và tư vấn, đào tạo</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2.4</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Hoạt động tài chính</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2.4.1</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Phí bản quyền và các khoản tương tự</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2.4.2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vay</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2.5</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Dịch vụ khác</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A</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MỤC IV. KẾT QUẢ SẢN XUẤT KINH DOANH SAU KHI XÁC ĐỊNH GIÁ GIAO DỊCH LIÊN KẾT</w:t>
      </w:r>
    </w:p>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 Dành cho người nộp thuế thuộc các ngành sản xuất, thương mại, dịch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4"/>
        <w:gridCol w:w="1152"/>
        <w:gridCol w:w="1534"/>
      </w:tblGrid>
      <w:tr w:rsidR="00F41434" w:rsidRPr="00F41434" w:rsidTr="00F41434">
        <w:trPr>
          <w:tblCellSpacing w:w="0" w:type="dxa"/>
        </w:trPr>
        <w:tc>
          <w:tcPr>
            <w:tcW w:w="3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Có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Không □</w:t>
            </w:r>
          </w:p>
        </w:tc>
      </w:tr>
    </w:tbl>
    <w:p w:rsidR="00F41434" w:rsidRPr="00F41434" w:rsidRDefault="00F41434" w:rsidP="00F41434">
      <w:pPr>
        <w:shd w:val="clear" w:color="auto" w:fill="FFFFFF"/>
        <w:spacing w:before="120" w:after="120" w:line="234" w:lineRule="atLeast"/>
        <w:jc w:val="right"/>
        <w:rPr>
          <w:rFonts w:ascii="Arial" w:eastAsia="Times New Roman" w:hAnsi="Arial" w:cs="Arial"/>
          <w:color w:val="000000"/>
          <w:sz w:val="18"/>
          <w:szCs w:val="18"/>
        </w:rPr>
      </w:pPr>
      <w:r w:rsidRPr="00F41434">
        <w:rPr>
          <w:rFonts w:ascii="Arial" w:eastAsia="Times New Roman" w:hAnsi="Arial" w:cs="Arial"/>
          <w:i/>
          <w:iCs/>
          <w:color w:val="000000"/>
          <w:sz w:val="18"/>
          <w:szCs w:val="18"/>
        </w:rPr>
        <w:t>Đơn vị tiền: Đồng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9"/>
        <w:gridCol w:w="4463"/>
        <w:gridCol w:w="1045"/>
        <w:gridCol w:w="949"/>
        <w:gridCol w:w="855"/>
        <w:gridCol w:w="1519"/>
      </w:tblGrid>
      <w:tr w:rsidR="00F41434" w:rsidRPr="00F41434" w:rsidTr="00F4143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lastRenderedPageBreak/>
              <w:t>STT</w:t>
            </w:r>
          </w:p>
        </w:tc>
        <w:tc>
          <w:tcPr>
            <w:tcW w:w="23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Chỉ tiêu</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giao dịch liên 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giao dịch với các bên độc lập</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Tổng giá trị phát sinh từ hoạt động kinh doanh trong kỳ</w:t>
            </w:r>
          </w:p>
        </w:tc>
      </w:tr>
      <w:tr w:rsidR="00F41434" w:rsidRPr="00F41434" w:rsidTr="00F414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theo Hồ sơ xác định giá giao dịch liên kết</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w:t>
            </w: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(6)=(3)+(4)+(5)</w:t>
            </w: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Doanh thu bán hàng và cung cấp dịch vụ</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Trong đó: Doanh thu bán hàng hóa, dịch vụ xuất khẩu</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Các khoản giảm trừ doanh thu</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3</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Doanh thu thuần về bán hàng và cung cấp dịch vụ (3)=(1)-(2)</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4</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Giá vốn hàng bán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5</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Lợi nhuận gộp về bán hàng và cung cấp dịch vụ (5)=(3)-(4)</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6</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bán hàng</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7</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quản lý doanh nghiệp</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8</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Doanh thu hoạt động tài chính</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8.1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Trong đó: Lãi tiền gửi và lãi cho vay</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9</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tài chính</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9.1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Trong đó: Chi phí lãi vay</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9.1.a</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lãi vay được trừ trong kỳ</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9.1.b</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Phần chi phí lãi vay trong kỳ không được trừ chuyển sang kỳ sau theo quy định tại </w:t>
            </w:r>
            <w:bookmarkStart w:id="1" w:name="tc_53"/>
            <w:r w:rsidRPr="00F41434">
              <w:rPr>
                <w:rFonts w:ascii="Arial" w:eastAsia="Times New Roman" w:hAnsi="Arial" w:cs="Arial"/>
                <w:color w:val="0000FF"/>
                <w:sz w:val="18"/>
                <w:szCs w:val="18"/>
              </w:rPr>
              <w:t>điểm b khoản 3 Điều 16</w:t>
            </w:r>
            <w:bookmarkEnd w:id="1"/>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10</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khấu hao phát sinh trong kỳ</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Lợi nhuận thuần từ hoạt động sản xuất kinh doanh trong kỳ (11)=(5)-(6)-(7)+(8)-(9)</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12</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Lợi nhuận thuần từ hoạt động sản xuất kinh doanh trong kỳ không bao gồm chênh lệch doanh thu và chi phí của hoạt động tài chính (12)=(11)-(8)+(9)</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lastRenderedPageBreak/>
              <w:t>13</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lợi nhuận thuần từ hoạt động kinh doanh cộng chi phí lãi vay sau khi trừ lãi tiền gửi và lãi cho vay trong kỳ cộng chi phí khấu hao trong kỳ (13)=(11)+(9.1)-(8.1)+(10)</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14</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 (14)=[(9.1)-(8.1)]/(13)</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15</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lãi vay của các kỳ trước chuyển sang, trong đó: (15)=(15.1)+(15.2)+(15.3)+(15.4)+(15.5)</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(n-1)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15.2</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(n-2)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15.3</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(n-3)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15.4</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(n-4)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15.5</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(n-5) chuyển sang kỳ tính thuế (n)</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16</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lệ chi phí lãi vay sau khi trừ lãi tiền gửi và lãi cho vay phát sinh cộng chi phí lãi vay của các kỳ trước chuyển sang trên tổng lợi nhuận thuần từ hoạt động kinh doanh cộng chi phí lãi vay (sau khi trừ lãi tiền gửi và lãi cho vay) trong kỳ cộng chi phí khấu hao trong kỳ (16)=[(9.1)-(8.1)+(15)]/(13)</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17</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suất lợi nhuận sử dụng xác định giá giao dịch liên kết</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17.1</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Tỷ suất …………………………………….</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17.2</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Tỷ suất …………………………………….</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17.3</w:t>
            </w:r>
          </w:p>
        </w:tc>
        <w:tc>
          <w:tcPr>
            <w:tcW w:w="23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2. Dành cho người nộp thuế thuộc các ngành ngân hàng, tín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06"/>
        <w:gridCol w:w="1056"/>
        <w:gridCol w:w="1438"/>
      </w:tblGrid>
      <w:tr w:rsidR="00F41434" w:rsidRPr="00F41434" w:rsidTr="00F41434">
        <w:trPr>
          <w:tblCellSpacing w:w="0" w:type="dxa"/>
        </w:trPr>
        <w:tc>
          <w:tcPr>
            <w:tcW w:w="3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đã ký thỏa thuận trước về phương pháp xác định giá tính thuế (APA)</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Có □</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Không □</w:t>
            </w:r>
          </w:p>
        </w:tc>
      </w:tr>
    </w:tbl>
    <w:p w:rsidR="00F41434" w:rsidRPr="00F41434" w:rsidRDefault="00F41434" w:rsidP="00F41434">
      <w:pPr>
        <w:shd w:val="clear" w:color="auto" w:fill="FFFFFF"/>
        <w:spacing w:before="120" w:after="120" w:line="234" w:lineRule="atLeast"/>
        <w:jc w:val="right"/>
        <w:rPr>
          <w:rFonts w:ascii="Arial" w:eastAsia="Times New Roman" w:hAnsi="Arial" w:cs="Arial"/>
          <w:color w:val="000000"/>
          <w:sz w:val="18"/>
          <w:szCs w:val="18"/>
        </w:rPr>
      </w:pPr>
      <w:r w:rsidRPr="00F41434">
        <w:rPr>
          <w:rFonts w:ascii="Arial" w:eastAsia="Times New Roman" w:hAnsi="Arial" w:cs="Arial"/>
          <w:i/>
          <w:iCs/>
          <w:color w:val="000000"/>
          <w:sz w:val="18"/>
          <w:szCs w:val="18"/>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
        <w:gridCol w:w="4834"/>
        <w:gridCol w:w="1153"/>
        <w:gridCol w:w="861"/>
        <w:gridCol w:w="862"/>
        <w:gridCol w:w="1216"/>
      </w:tblGrid>
      <w:tr w:rsidR="00F41434" w:rsidRPr="00F41434" w:rsidTr="00F4143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STT</w:t>
            </w:r>
          </w:p>
        </w:tc>
        <w:tc>
          <w:tcPr>
            <w:tcW w:w="25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Chỉ tiêu</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 xml:space="preserve">Giá trị giao dịch liên </w:t>
            </w:r>
            <w:r w:rsidRPr="00F41434">
              <w:rPr>
                <w:rFonts w:ascii="Arial" w:eastAsia="Times New Roman" w:hAnsi="Arial" w:cs="Arial"/>
                <w:b/>
                <w:bCs/>
                <w:color w:val="000000"/>
                <w:sz w:val="18"/>
                <w:szCs w:val="18"/>
              </w:rPr>
              <w:lastRenderedPageBreak/>
              <w:t>kết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lastRenderedPageBreak/>
              <w:t xml:space="preserve">Giá trị </w:t>
            </w:r>
            <w:r w:rsidRPr="00F41434">
              <w:rPr>
                <w:rFonts w:ascii="Arial" w:eastAsia="Times New Roman" w:hAnsi="Arial" w:cs="Arial"/>
                <w:b/>
                <w:bCs/>
                <w:color w:val="000000"/>
                <w:sz w:val="18"/>
                <w:szCs w:val="18"/>
              </w:rPr>
              <w:lastRenderedPageBreak/>
              <w:t>giao dịch với các bên độc lập</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lastRenderedPageBreak/>
              <w:t xml:space="preserve">Tổng giá trị </w:t>
            </w:r>
            <w:r w:rsidRPr="00F41434">
              <w:rPr>
                <w:rFonts w:ascii="Arial" w:eastAsia="Times New Roman" w:hAnsi="Arial" w:cs="Arial"/>
                <w:b/>
                <w:bCs/>
                <w:color w:val="000000"/>
                <w:sz w:val="18"/>
                <w:szCs w:val="18"/>
              </w:rPr>
              <w:lastRenderedPageBreak/>
              <w:t>phát sinh từ hoạt động kinh doanh trong kỳ</w:t>
            </w:r>
          </w:p>
        </w:tc>
      </w:tr>
      <w:tr w:rsidR="00F41434" w:rsidRPr="00F41434" w:rsidTr="00F414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theo Hồ sơ xác định giá giao dịch liên kết</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(6)=(3)+(4)+(5)</w:t>
            </w: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lãi và các khoản thu nhập tương tự</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lãi và các chi phí tương tự</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lãi thuần (3)=(1)-(2)</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từ hoạt động dịch vụ</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hoạt động dịch vụ</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6</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Lãi/lỗ thuần từ hoạt động dịch vụ (6)=(4)-(5)</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7</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Lãi/lỗ thuần từ hoạt động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8</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Lãi/lỗ thuần từ mua bán chứng khoán kinh doanh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9</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Lãi/lỗ thuần từ mua bán chứng khoán đầu tư</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10</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từ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11</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12</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Lãi/lỗ thuần từ hoạt động khác (12)=(10)-(11)</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13</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từ góp vốn, mua cổ phần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14</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hoạt động</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15</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dự phòng rủi ro tín dụng</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16</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Tổng lợi nhuận trước thuế (16)=(3)+(6)+(7)+(8)+(9)+(12)+(13)-(14)-(15)</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17</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Lợi nhuận thuần từ hoạt động sản xuất kinh doanh (17=16-12)</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18</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Tỷ suất lợi nhuận sử dụng xác định giá giao dịch liên kết</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18.1</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18.2</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18.3</w:t>
            </w:r>
          </w:p>
        </w:tc>
        <w:tc>
          <w:tcPr>
            <w:tcW w:w="25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3. Dành cho người nộp thuế là các Công ty chứng khoán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4"/>
        <w:gridCol w:w="1152"/>
        <w:gridCol w:w="1534"/>
      </w:tblGrid>
      <w:tr w:rsidR="00F41434" w:rsidRPr="00F41434" w:rsidTr="00F41434">
        <w:trPr>
          <w:tblCellSpacing w:w="0" w:type="dxa"/>
        </w:trPr>
        <w:tc>
          <w:tcPr>
            <w:tcW w:w="3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Có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Không □</w:t>
            </w:r>
          </w:p>
        </w:tc>
      </w:tr>
    </w:tbl>
    <w:p w:rsidR="00F41434" w:rsidRPr="00F41434" w:rsidRDefault="00F41434" w:rsidP="00F41434">
      <w:pPr>
        <w:shd w:val="clear" w:color="auto" w:fill="FFFFFF"/>
        <w:spacing w:before="120" w:after="120" w:line="234" w:lineRule="atLeast"/>
        <w:jc w:val="right"/>
        <w:rPr>
          <w:rFonts w:ascii="Arial" w:eastAsia="Times New Roman" w:hAnsi="Arial" w:cs="Arial"/>
          <w:color w:val="000000"/>
          <w:sz w:val="18"/>
          <w:szCs w:val="18"/>
        </w:rPr>
      </w:pPr>
      <w:r w:rsidRPr="00F41434">
        <w:rPr>
          <w:rFonts w:ascii="Arial" w:eastAsia="Times New Roman" w:hAnsi="Arial" w:cs="Arial"/>
          <w:i/>
          <w:iCs/>
          <w:color w:val="000000"/>
          <w:sz w:val="18"/>
          <w:szCs w:val="18"/>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
        <w:gridCol w:w="5264"/>
        <w:gridCol w:w="1140"/>
        <w:gridCol w:w="756"/>
        <w:gridCol w:w="564"/>
        <w:gridCol w:w="1235"/>
      </w:tblGrid>
      <w:tr w:rsidR="00F41434" w:rsidRPr="00F41434" w:rsidTr="00F4143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STT</w:t>
            </w:r>
          </w:p>
        </w:tc>
        <w:tc>
          <w:tcPr>
            <w:tcW w:w="27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Chỉ tiêu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giao dịch liên kết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giao dịch với các bên độc lập</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Tổng giá trị phát sinh từ hoạt động kinh doanh trong kỳ</w:t>
            </w:r>
          </w:p>
        </w:tc>
      </w:tr>
      <w:tr w:rsidR="00F41434" w:rsidRPr="00F41434" w:rsidTr="00F414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theo Hồ sơ xác định giá giao dịch liên kết</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Giá trị xác định giá theo APA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color w:val="000000"/>
                <w:sz w:val="18"/>
                <w:szCs w:val="18"/>
              </w:rPr>
              <w:t>(6)=(3)+(4)+(5)</w:t>
            </w: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Doanh thu hoạt động (1)=(1.1)+(1.2)+(1.3)+(1.4)+(1.5)+(1.6)+(1.7)+(1.8)+(1.9)+ (1.10)+(1.11)</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từ các tài sản tài chính ghi nhận thông qua lãi/lỗ (FVTPL) (1.1)=(1.1.a)+(1.1.b)+(1.1.c)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1.1.a</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bán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1.1.b</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Chênh lệch tăng về đánh giá lại các TSTC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1.1.c</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Cổ tức, tiền lãi phát sinh từ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từ các khoản đầu tư nắm giữ đến ngày đáo hạn (HTM)</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từ các khoản cho vay và phải thu</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từ tài sản tài chính sẵn sàng để bán (AFS)</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từ các công cụ phái sinh phòng ngừa rủi ro</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1.6</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nghiệp vụ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1.7</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nghiệp vụ bảo lãnh, đại lý phát hành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1.8</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nghiệp vụ tư vấn đầu tư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1.9</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nghiệp vụ lưu ký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1.10</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hoạt động tư vấn tài chính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1.11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Thu nhập hoạt động khác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hoạt động (2) = (2.1) + (2.2) + (2.3) + (2.4) + (2.5) + (2.6) + (2.7) + (2.8) + (2.9) + (2.10) + (2.11) + (2.12)</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các tài sản tài chính ghi nhận thông qua lãi/lỗ (FVTPL) (2.1)=(2.1.a)+(2.1.b)+(2.1.c)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2.1.a</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bán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2.1.b</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Chênh lệch giảm đánh giá lại các TSTC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2.1.c</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giao dịch mua các tài sản tài chính FVTPL</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các khoản đầu tư nắm giữ đến ngày đáo hạn (HTM)</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và ghi nhận chênh lệch đánh giá theo giá trị hợp lý tài sản tài chính sẵn sàng để bán (AFS) khi phân loại lại</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dự phòng tài sản tài chính, xử lý tổn thất các khoản phải thu khó đòi và lỗ suy giảm tài sản tài chính và chi phí đi vay của các khoản cho vay</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từ các tài sản tài chính phái sinh phòng ngừa rủi ro</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2.6</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hoạt động tự doanh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2.7</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nghiệp vụ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2.8</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nghiệp vụ bảo lãnh, đại lý phát hành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2.9</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nghiệp vụ tư vấn đầu tư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2.10</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nghiệp vụ lưu ký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hoạt động tư vấn tài chính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2.12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các dịch vụ khác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Doanh thu hoạt động tài chính (3)=(3.1)+(3.2)+(3.3)+(3.4)</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3.1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Chênh lệch lãi tỷ giá hối đoái đã và chưa thực hiện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3.2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dự thu cổ tức, lãi tiền gửi ngân hàng không cố định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3.3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Lãi bán, thanh lý các khoản đầu tư vào công ty con, liên kết, liên doanh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3.4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Doanh thu khác về đầu tư</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tài chính (4)=(4.1)+(4.2)+(4.3)+(4.4)+(4.5)</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4.1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Chênh lệch lỗ tỷ giá hối đoái đã và chưa thực hiện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4.2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lãi vay</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4.3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Lỗ bán, thanh lý các khoản đầu tư vào công ty con, liên kết, liên doanh</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4.4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dự phòng suy giảm giá trị các khoản đầu tư tài chính dài hạn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4.5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tài chính khác</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bán hàng</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6</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quản lý công ty chứng khoán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7</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Kết quả hoạt động (7)=(1)-(2)+(3)-(4)-(5)-(6)</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8</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lãi tiền gửi và lãi cho vay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9</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chi phí lãi vay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9.1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Chi phí lãi vay được trừ trong kỳ</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9.2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Phần chi phí lãi vay trong kỳ không được trừ chuyển sang kỳ sau theo quy định tại </w:t>
            </w:r>
            <w:bookmarkStart w:id="2" w:name="tc_54"/>
            <w:r w:rsidRPr="00F41434">
              <w:rPr>
                <w:rFonts w:ascii="Arial" w:eastAsia="Times New Roman" w:hAnsi="Arial" w:cs="Arial"/>
                <w:color w:val="0000FF"/>
                <w:sz w:val="18"/>
                <w:szCs w:val="18"/>
              </w:rPr>
              <w:t>điểm b khoản 3 Điều 16</w:t>
            </w:r>
            <w:bookmarkEnd w:id="2"/>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10</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khấu hao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Tổng lợi nhuận thuần từ hoạt động kinh doanh trong kỳ cộng chi phí lãi vay sau khi trừ lãi tiền gửi và lãi cho vay phát sinh trong kỳ cộng chi phí khấu hao phát sinh trong kỳ [(11)=(7)+(9)-(8)+(10)]</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 (12)=[(9)-(8)]/(11)</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Chi phí lãi vay của các kỳ trước chuyển sang (13)=(13.1)+(13.2)+(13.3)+(13.4)+(13.5)</w:t>
            </w:r>
          </w:p>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Trong đó:</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13.1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(n-1)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13.2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(n-2)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13.3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(n-3)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lastRenderedPageBreak/>
              <w:t>13.4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(n-4)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13.5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 Phần chi phí lãi vay không được trừ từ năm (n-5)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14</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lệ chi phí lãi vay sau khi trừ lãi tiền gửi và lãi cho vay phát sinh được trừ trong kỳ cộng chi phí lãi vay của các kỳ trước chuyển sang kỳ tính thuế (n) trên tổng lợi nhuận thuần từ hoạt động kinh doanh cộng chi phí lãi vay thuần phát sinh trong kỳ cộng chi phí khấu hao phát sinh trong kỳ của người nộp thuế (14)=[(9)-(8)+(13)]/(11)</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15</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b/>
                <w:bCs/>
                <w:color w:val="000000"/>
                <w:sz w:val="18"/>
                <w:szCs w:val="18"/>
              </w:rPr>
              <w:t>Tỷ suất lợi nhuận sử dụng xác định giá giao dịch liên kết</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15.1</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15.2</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Tỷ suất …………………………..</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r w:rsidR="00F41434" w:rsidRPr="00F41434" w:rsidTr="00F4143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15.3</w:t>
            </w:r>
          </w:p>
        </w:tc>
        <w:tc>
          <w:tcPr>
            <w:tcW w:w="27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F41434" w:rsidRPr="00F41434" w:rsidRDefault="00F41434" w:rsidP="00F41434">
            <w:pPr>
              <w:spacing w:after="0" w:line="240" w:lineRule="auto"/>
              <w:rPr>
                <w:rFonts w:ascii="Arial" w:eastAsia="Times New Roman" w:hAnsi="Arial" w:cs="Arial"/>
                <w:color w:val="000000"/>
                <w:sz w:val="18"/>
                <w:szCs w:val="18"/>
              </w:rPr>
            </w:pPr>
          </w:p>
        </w:tc>
      </w:tr>
    </w:tbl>
    <w:p w:rsidR="00F41434" w:rsidRPr="00F41434" w:rsidRDefault="00F41434" w:rsidP="00F41434">
      <w:pPr>
        <w:shd w:val="clear" w:color="auto" w:fill="FFFFFF"/>
        <w:spacing w:before="120" w:after="120" w:line="234" w:lineRule="atLeast"/>
        <w:rPr>
          <w:rFonts w:ascii="Arial" w:eastAsia="Times New Roman" w:hAnsi="Arial" w:cs="Arial"/>
          <w:color w:val="000000"/>
          <w:sz w:val="18"/>
          <w:szCs w:val="18"/>
        </w:rPr>
      </w:pPr>
      <w:r w:rsidRPr="00F41434">
        <w:rPr>
          <w:rFonts w:ascii="Arial" w:eastAsia="Times New Roman" w:hAnsi="Arial" w:cs="Arial"/>
          <w:color w:val="000000"/>
          <w:sz w:val="18"/>
          <w:szCs w:val="18"/>
        </w:rPr>
        <w:t>Tôi cam đoan số liệu khai trên là đúng và chịu trách nhiệm trước pháp luật về số liệu đã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479"/>
      </w:tblGrid>
      <w:tr w:rsidR="00F41434" w:rsidRPr="00F41434" w:rsidTr="00F41434">
        <w:trPr>
          <w:tblCellSpacing w:w="0" w:type="dxa"/>
        </w:trPr>
        <w:tc>
          <w:tcPr>
            <w:tcW w:w="3808" w:type="dxa"/>
            <w:shd w:val="clear" w:color="auto" w:fill="FFFFFF"/>
            <w:tcMar>
              <w:top w:w="0" w:type="dxa"/>
              <w:left w:w="108" w:type="dxa"/>
              <w:bottom w:w="0" w:type="dxa"/>
              <w:right w:w="108" w:type="dxa"/>
            </w:tcMa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b/>
                <w:bCs/>
                <w:color w:val="000000"/>
                <w:sz w:val="18"/>
                <w:szCs w:val="18"/>
              </w:rPr>
              <w:t>NHÂN VIÊN ĐẠI LÝ THUẾ</w:t>
            </w:r>
            <w:r w:rsidRPr="00F41434">
              <w:rPr>
                <w:rFonts w:ascii="Arial" w:eastAsia="Times New Roman" w:hAnsi="Arial" w:cs="Arial"/>
                <w:b/>
                <w:bCs/>
                <w:color w:val="000000"/>
                <w:sz w:val="18"/>
                <w:szCs w:val="18"/>
              </w:rPr>
              <w:br/>
            </w:r>
            <w:r w:rsidRPr="00F41434">
              <w:rPr>
                <w:rFonts w:ascii="Arial" w:eastAsia="Times New Roman" w:hAnsi="Arial" w:cs="Arial"/>
                <w:color w:val="000000"/>
                <w:sz w:val="18"/>
                <w:szCs w:val="18"/>
              </w:rPr>
              <w:t>Họ và tên: ……………………….</w:t>
            </w:r>
            <w:r w:rsidRPr="00F41434">
              <w:rPr>
                <w:rFonts w:ascii="Arial" w:eastAsia="Times New Roman" w:hAnsi="Arial" w:cs="Arial"/>
                <w:color w:val="000000"/>
                <w:sz w:val="18"/>
                <w:szCs w:val="18"/>
              </w:rPr>
              <w:br/>
              <w:t>Chứng chỉ hành nghề số: ……….1</w:t>
            </w:r>
          </w:p>
        </w:tc>
        <w:tc>
          <w:tcPr>
            <w:tcW w:w="5479" w:type="dxa"/>
            <w:shd w:val="clear" w:color="auto" w:fill="FFFFFF"/>
            <w:tcMar>
              <w:top w:w="0" w:type="dxa"/>
              <w:left w:w="108" w:type="dxa"/>
              <w:bottom w:w="0" w:type="dxa"/>
              <w:right w:w="108" w:type="dxa"/>
            </w:tcMar>
            <w:hideMark/>
          </w:tcPr>
          <w:p w:rsidR="00F41434" w:rsidRPr="00F41434" w:rsidRDefault="00F41434" w:rsidP="00F41434">
            <w:pPr>
              <w:spacing w:before="120" w:after="120" w:line="234" w:lineRule="atLeast"/>
              <w:jc w:val="center"/>
              <w:rPr>
                <w:rFonts w:ascii="Arial" w:eastAsia="Times New Roman" w:hAnsi="Arial" w:cs="Arial"/>
                <w:color w:val="000000"/>
                <w:sz w:val="18"/>
                <w:szCs w:val="18"/>
              </w:rPr>
            </w:pPr>
            <w:r w:rsidRPr="00F41434">
              <w:rPr>
                <w:rFonts w:ascii="Arial" w:eastAsia="Times New Roman" w:hAnsi="Arial" w:cs="Arial"/>
                <w:i/>
                <w:iCs/>
                <w:color w:val="000000"/>
                <w:sz w:val="18"/>
                <w:szCs w:val="18"/>
              </w:rPr>
              <w:t>……, ngày ….. tháng ….. năm …..</w:t>
            </w:r>
            <w:r w:rsidRPr="00F41434">
              <w:rPr>
                <w:rFonts w:ascii="Arial" w:eastAsia="Times New Roman" w:hAnsi="Arial" w:cs="Arial"/>
                <w:i/>
                <w:iCs/>
                <w:color w:val="000000"/>
                <w:sz w:val="18"/>
                <w:szCs w:val="18"/>
              </w:rPr>
              <w:br/>
            </w:r>
            <w:r w:rsidRPr="00F41434">
              <w:rPr>
                <w:rFonts w:ascii="Arial" w:eastAsia="Times New Roman" w:hAnsi="Arial" w:cs="Arial"/>
                <w:b/>
                <w:bCs/>
                <w:color w:val="000000"/>
                <w:sz w:val="18"/>
                <w:szCs w:val="18"/>
              </w:rPr>
              <w:t>NGƯỜI NỘP THUẾ hoặc</w:t>
            </w:r>
            <w:r w:rsidRPr="00F41434">
              <w:rPr>
                <w:rFonts w:ascii="Arial" w:eastAsia="Times New Roman" w:hAnsi="Arial" w:cs="Arial"/>
                <w:b/>
                <w:bCs/>
                <w:color w:val="000000"/>
                <w:sz w:val="18"/>
                <w:szCs w:val="18"/>
              </w:rPr>
              <w:br/>
              <w:t>ĐẠI DIỆN HỢP PHÁP CỦA NGƯỜI NỘP THUẾ</w:t>
            </w:r>
            <w:r w:rsidRPr="00F41434">
              <w:rPr>
                <w:rFonts w:ascii="Arial" w:eastAsia="Times New Roman" w:hAnsi="Arial" w:cs="Arial"/>
                <w:b/>
                <w:bCs/>
                <w:color w:val="000000"/>
                <w:sz w:val="18"/>
                <w:szCs w:val="18"/>
              </w:rPr>
              <w:br/>
            </w:r>
            <w:r w:rsidRPr="00F41434">
              <w:rPr>
                <w:rFonts w:ascii="Arial" w:eastAsia="Times New Roman" w:hAnsi="Arial" w:cs="Arial"/>
                <w:i/>
                <w:iCs/>
                <w:color w:val="000000"/>
                <w:sz w:val="18"/>
                <w:szCs w:val="18"/>
              </w:rPr>
              <w:t>(Ký, ghi rõ họ tên; chức vụ và đóng dấu (nếu có))</w:t>
            </w:r>
          </w:p>
        </w:tc>
      </w:tr>
    </w:tbl>
    <w:p w:rsidR="00AB706F" w:rsidRDefault="00AB706F">
      <w:bookmarkStart w:id="3" w:name="_GoBack"/>
      <w:bookmarkEnd w:id="3"/>
    </w:p>
    <w:sectPr w:rsidR="00AB7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34"/>
    <w:rsid w:val="0095702A"/>
    <w:rsid w:val="00AB706F"/>
    <w:rsid w:val="00F4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4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434"/>
    <w:rPr>
      <w:color w:val="0000FF"/>
      <w:u w:val="single"/>
    </w:rPr>
  </w:style>
  <w:style w:type="character" w:styleId="FollowedHyperlink">
    <w:name w:val="FollowedHyperlink"/>
    <w:basedOn w:val="DefaultParagraphFont"/>
    <w:uiPriority w:val="99"/>
    <w:semiHidden/>
    <w:unhideWhenUsed/>
    <w:rsid w:val="00F414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4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434"/>
    <w:rPr>
      <w:color w:val="0000FF"/>
      <w:u w:val="single"/>
    </w:rPr>
  </w:style>
  <w:style w:type="character" w:styleId="FollowedHyperlink">
    <w:name w:val="FollowedHyperlink"/>
    <w:basedOn w:val="DefaultParagraphFont"/>
    <w:uiPriority w:val="99"/>
    <w:semiHidden/>
    <w:unhideWhenUsed/>
    <w:rsid w:val="00F41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32-2020-ND-CP-quy-dinh-quan-ly-thue-doi-voi-doanh-nghiep-co-giao-dich-lien-ket-452218.aspx" TargetMode="External"/><Relationship Id="rId3" Type="http://schemas.openxmlformats.org/officeDocument/2006/relationships/settings" Target="settings.xml"/><Relationship Id="rId7" Type="http://schemas.openxmlformats.org/officeDocument/2006/relationships/hyperlink" Target="https://thuvienphapluat.vn/van-ban/Doanh-nghiep/Nghi-dinh-132-2020-ND-CP-quy-dinh-quan-ly-thue-doi-voi-doanh-nghiep-co-giao-dich-lien-ket-45221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Nghi-dinh-132-2020-ND-CP-quy-dinh-quan-ly-thue-doi-voi-doanh-nghiep-co-giao-dich-lien-ket-452218.aspx" TargetMode="External"/><Relationship Id="rId5" Type="http://schemas.openxmlformats.org/officeDocument/2006/relationships/hyperlink" Target="https://thuvienphapluat.vn/van-ban/Doanh-nghiep/Nghi-dinh-132-2020-ND-CP-quy-dinh-quan-ly-thue-doi-voi-doanh-nghiep-co-giao-dich-lien-ket-452218.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2024-04-19T00:37:00Z</dcterms:created>
  <dcterms:modified xsi:type="dcterms:W3CDTF">2024-04-19T00:37:00Z</dcterms:modified>
</cp:coreProperties>
</file>